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22" w:rsidRDefault="004E5422">
      <w:pPr>
        <w:rPr>
          <w:b/>
          <w:lang w:val="en-GB"/>
        </w:rPr>
      </w:pPr>
      <w:r w:rsidRPr="004E5422">
        <w:rPr>
          <w:b/>
          <w:lang w:val="en-GB"/>
        </w:rPr>
        <w:t xml:space="preserve">Supplementary material </w:t>
      </w:r>
    </w:p>
    <w:p w:rsidR="004E5422" w:rsidRDefault="004E5422">
      <w:pPr>
        <w:rPr>
          <w:b/>
          <w:lang w:val="en-GB"/>
        </w:rPr>
      </w:pPr>
    </w:p>
    <w:p w:rsidR="004E5422" w:rsidRPr="00A0521F" w:rsidRDefault="004E5422" w:rsidP="004E5422">
      <w:pPr>
        <w:jc w:val="both"/>
        <w:rPr>
          <w:sz w:val="22"/>
          <w:szCs w:val="22"/>
          <w:lang w:val="en-GB"/>
        </w:rPr>
      </w:pPr>
      <w:r w:rsidRPr="0091722D">
        <w:rPr>
          <w:b/>
          <w:lang w:val="en-GB"/>
        </w:rPr>
        <w:t>Table 1</w:t>
      </w:r>
      <w:r w:rsidRPr="0091722D">
        <w:rPr>
          <w:lang w:val="en-GB"/>
        </w:rPr>
        <w:t>. Main phenolic compounds of the grape seed phenolic extract (GSPE) used in this study</w:t>
      </w:r>
      <w:r w:rsidR="00B41D4B">
        <w:rPr>
          <w:lang w:val="en-GB"/>
        </w:rPr>
        <w:t xml:space="preserve">, adapted from </w:t>
      </w:r>
      <w:r w:rsidR="00B41D4B">
        <w:rPr>
          <w:lang w:val="en-GB"/>
        </w:rPr>
        <w:fldChar w:fldCharType="begin" w:fldLock="1"/>
      </w:r>
      <w:r w:rsidR="00B41D4B">
        <w:rPr>
          <w:lang w:val="en-GB"/>
        </w:rPr>
        <w:instrText>ADDIN CSL_CITATION { "citationItems" : [ { "id" : "ITEM-1", "itemData" : { "DOI" : "10.1021/acs.jafc.5b03856", "ISSN" : "15205118", "PMID" : "26496863", "abstract" : "After ingestion flavanols are metabolized by phase-II enzymes and the microbiota and are distributed throughout the body depending on several factors. Herein we aim to evaluate whether flavanols are tissue-accumulated after the long-term administration of a grape seed polyphenol extract (GSPE) in rats and to study if compounds present in tissues differ in a cafeteria-diet obesity state. For that, plasma, liver, mesenteric white adipose tissue (MWAT), brain and aorta flavanol metabolites from standard chow-diet (ST) and cafeteria-diet-fed rats (CAF) were analyzed by HPLC-ESI-MS/MS 21 h after the last 12-week-daily GSPE (100 mg/kg) dosage. Results showed that long-term GSPE intake did not trigger a flavanol tissue accumulation, indicating a clearance of products at each daily-dosage. Therefore, results suggest that polyphenol benefits in a disease state would be due to a daily pulsatile effect. Moreover, obesity induced by diet also influences the metabolism and bioavailability of flavanols in rats.", "author" : [ { "dropping-particle" : "", "family" : "Margalef", "given" : "Maria", "non-dropping-particle" : "", "parse-names" : false, "suffix" : "" }, { "dropping-particle" : "", "family" : "Pons", "given" : "Zara", "non-dropping-particle" : "", "parse-names" : false, "suffix" : "" }, { "dropping-particle" : "", "family" : "Iglesias-Carres", "given" : "Lisard", "non-dropping-particle" : "", "parse-names" : false, "suffix" : "" }, { "dropping-particle" : "", "family" : "Bravo", "given" : "Francisca Isabel", "non-dropping-particle" : "", "parse-names" : false, "suffix" : "" }, { "dropping-particle" : "", "family" : "Muguerza", "given" : "Bego\u00f1a", "non-dropping-particle" : "", "parse-names" : false, "suffix" : "" }, { "dropping-particle" : "", "family" : "Arola-Arnal", "given" : "Anna", "non-dropping-particle" : "", "parse-names" : false, "suffix" : "" } ], "container-title" : "Journal of Agricultural and Food Chemistry", "id" : "ITEM-1", "issue" : "45", "issued" : { "date-parts" : [ [ "2015" ] ] }, "page" : "9996-10003", "title" : "Lack of Tissue Accumulation of Grape Seed Flavanols after Daily Long-Term Administration in Healthy and Cafeteria-Diet Obese Rats", "type" : "article-journal", "volume" : "63" }, "uris" : [ "http://www.mendeley.com/documents/?uuid=726c2ba9-d3de-41e0-8713-1cbdb9c0cc48" ] } ], "mendeley" : { "formattedCitation" : "(Margalef et al., 2015)", "plainTextFormattedCitation" : "(Margalef et al., 2015)", "previouslyFormattedCitation" : "(Margalef et al., 2015)" }, "properties" : { "noteIndex" : 0 }, "schema" : "https://github.com/citation-style-language/schema/raw/master/csl-citation.json" }</w:instrText>
      </w:r>
      <w:r w:rsidR="00B41D4B">
        <w:rPr>
          <w:lang w:val="en-GB"/>
        </w:rPr>
        <w:fldChar w:fldCharType="separate"/>
      </w:r>
      <w:r w:rsidR="00B41D4B" w:rsidRPr="00B41D4B">
        <w:rPr>
          <w:noProof/>
          <w:lang w:val="en-GB"/>
        </w:rPr>
        <w:t>(Margalef et al., 2015)</w:t>
      </w:r>
      <w:r w:rsidR="00B41D4B">
        <w:rPr>
          <w:lang w:val="en-GB"/>
        </w:rPr>
        <w:fldChar w:fldCharType="end"/>
      </w:r>
      <w:r w:rsidR="00CD48A5">
        <w:rPr>
          <w:lang w:val="en-GB"/>
        </w:rPr>
        <w:t>.</w:t>
      </w:r>
    </w:p>
    <w:p w:rsidR="004E5422" w:rsidRDefault="004E5422" w:rsidP="004E5422">
      <w:pPr>
        <w:jc w:val="both"/>
        <w:rPr>
          <w:lang w:val="en-GB"/>
        </w:rPr>
      </w:pPr>
    </w:p>
    <w:tbl>
      <w:tblPr>
        <w:tblStyle w:val="Sombreadoclaro1"/>
        <w:tblW w:w="45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3"/>
        <w:gridCol w:w="1707"/>
      </w:tblGrid>
      <w:tr w:rsidR="004E5422" w:rsidRPr="00525B60" w:rsidTr="005A1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gridSpan w:val="2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Compound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Concentration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μmol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/g)</w:t>
            </w:r>
          </w:p>
        </w:tc>
      </w:tr>
      <w:tr w:rsidR="004E5422" w:rsidRPr="00525B60" w:rsidTr="005A1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Gallic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acid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182.64 ±0.47</w:t>
            </w:r>
          </w:p>
        </w:tc>
      </w:tr>
      <w:tr w:rsidR="004E5422" w:rsidRPr="00525B60" w:rsidTr="005A1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Protocatechuic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acid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8.69 ±0.13</w:t>
            </w:r>
          </w:p>
        </w:tc>
      </w:tr>
      <w:tr w:rsidR="004E5422" w:rsidRPr="00525B60" w:rsidTr="005A1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Vanillic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acid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4.58 ±0.24</w:t>
            </w:r>
          </w:p>
        </w:tc>
      </w:tr>
      <w:tr w:rsidR="004E5422" w:rsidRPr="00525B60" w:rsidTr="005A1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(+)-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Catechin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417.96 ±11.75</w:t>
            </w:r>
          </w:p>
        </w:tc>
      </w:tr>
      <w:tr w:rsidR="004E5422" w:rsidRPr="00525B60" w:rsidTr="005A1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(-)-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Epicatechin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321.91 ±14.71</w:t>
            </w:r>
          </w:p>
        </w:tc>
        <w:bookmarkStart w:id="0" w:name="_GoBack"/>
        <w:bookmarkEnd w:id="0"/>
      </w:tr>
      <w:tr w:rsidR="004E5422" w:rsidRPr="00525B60" w:rsidTr="005A1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Epicatechin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gallate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47.57 ±2.44</w:t>
            </w:r>
          </w:p>
        </w:tc>
      </w:tr>
      <w:tr w:rsidR="004E5422" w:rsidRPr="00525B60" w:rsidTr="005A1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Epigallocatechin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0.88 ±0.10</w:t>
            </w:r>
          </w:p>
        </w:tc>
      </w:tr>
      <w:tr w:rsidR="004E5422" w:rsidRPr="00525B60" w:rsidTr="005A1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Epigallocatechin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gallate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0.07 ±0.00</w:t>
            </w:r>
          </w:p>
        </w:tc>
      </w:tr>
      <w:tr w:rsidR="004E5422" w:rsidRPr="00525B60" w:rsidTr="005A1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Procyanidin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dimer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B1</w:t>
            </w:r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153.50 ±5.98</w:t>
            </w:r>
          </w:p>
        </w:tc>
      </w:tr>
      <w:tr w:rsidR="004E5422" w:rsidRPr="00525B60" w:rsidTr="005A1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Procyanidin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dimer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B2</w:t>
            </w:r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57.46 ±2.40</w:t>
            </w:r>
          </w:p>
        </w:tc>
      </w:tr>
      <w:tr w:rsidR="004E5422" w:rsidRPr="00525B60" w:rsidTr="005A1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Procyanidin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dimer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B3</w:t>
            </w:r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209.71 ±5.89</w:t>
            </w:r>
          </w:p>
        </w:tc>
      </w:tr>
      <w:tr w:rsidR="004E5422" w:rsidRPr="00525B60" w:rsidTr="005A1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Gallated</w:t>
            </w:r>
            <w:proofErr w:type="spellEnd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dimers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12.13 ±0.19</w:t>
            </w:r>
          </w:p>
        </w:tc>
      </w:tr>
      <w:tr w:rsidR="004E5422" w:rsidRPr="00525B60" w:rsidTr="005A1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Trimers</w:t>
            </w:r>
            <w:proofErr w:type="spellEnd"/>
          </w:p>
        </w:tc>
        <w:tc>
          <w:tcPr>
            <w:tcW w:w="1707" w:type="dxa"/>
            <w:shd w:val="clear" w:color="auto" w:fill="FFFFFF" w:themeFill="background1"/>
            <w:noWrap/>
            <w:hideMark/>
          </w:tcPr>
          <w:p w:rsidR="004E5422" w:rsidRPr="00525B60" w:rsidRDefault="004E5422" w:rsidP="005A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525B60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6.65 ±0.54</w:t>
            </w:r>
          </w:p>
        </w:tc>
      </w:tr>
    </w:tbl>
    <w:p w:rsidR="004E5422" w:rsidRDefault="004E5422">
      <w:pPr>
        <w:rPr>
          <w:b/>
          <w:lang w:val="en-GB"/>
        </w:rPr>
      </w:pPr>
    </w:p>
    <w:p w:rsidR="0091722D" w:rsidRDefault="004E5422">
      <w:pPr>
        <w:rPr>
          <w:rFonts w:ascii="AdvOTd3a5f740" w:eastAsiaTheme="minorHAnsi" w:hAnsi="AdvOTd3a5f740" w:cs="AdvOTd3a5f740"/>
          <w:sz w:val="15"/>
          <w:szCs w:val="15"/>
          <w:lang w:val="en-US" w:eastAsia="en-US"/>
        </w:rPr>
      </w:pPr>
      <w:r>
        <w:rPr>
          <w:b/>
          <w:lang w:val="en-GB"/>
        </w:rPr>
        <w:t xml:space="preserve">Table 2. </w:t>
      </w:r>
      <w:r w:rsidR="0091722D" w:rsidRPr="0091722D">
        <w:t xml:space="preserve">Portal </w:t>
      </w:r>
      <w:proofErr w:type="spellStart"/>
      <w:r w:rsidR="0091722D" w:rsidRPr="0091722D">
        <w:t>hormone</w:t>
      </w:r>
      <w:proofErr w:type="spellEnd"/>
      <w:r w:rsidR="0091722D" w:rsidRPr="0091722D">
        <w:t xml:space="preserve"> </w:t>
      </w:r>
      <w:proofErr w:type="spellStart"/>
      <w:r w:rsidR="0091722D" w:rsidRPr="0091722D">
        <w:t>levels</w:t>
      </w:r>
      <w:proofErr w:type="spellEnd"/>
      <w:r w:rsidR="0091722D" w:rsidRPr="0091722D">
        <w:t xml:space="preserve"> 60 min </w:t>
      </w:r>
      <w:proofErr w:type="spellStart"/>
      <w:r w:rsidR="0091722D" w:rsidRPr="0091722D">
        <w:t>after</w:t>
      </w:r>
      <w:proofErr w:type="spellEnd"/>
      <w:r w:rsidR="0091722D" w:rsidRPr="0091722D">
        <w:t xml:space="preserve"> </w:t>
      </w:r>
      <w:proofErr w:type="spellStart"/>
      <w:r w:rsidR="0091722D" w:rsidRPr="0091722D">
        <w:t>the</w:t>
      </w:r>
      <w:proofErr w:type="spellEnd"/>
      <w:r w:rsidR="0091722D" w:rsidRPr="0091722D">
        <w:t xml:space="preserve"> GSPE </w:t>
      </w:r>
      <w:proofErr w:type="spellStart"/>
      <w:r w:rsidR="0091722D" w:rsidRPr="0091722D">
        <w:t>gavage</w:t>
      </w:r>
      <w:proofErr w:type="spellEnd"/>
    </w:p>
    <w:p w:rsidR="0091722D" w:rsidRPr="0091722D" w:rsidRDefault="0091722D">
      <w:pPr>
        <w:rPr>
          <w:b/>
          <w:lang w:val="en-US"/>
        </w:rPr>
      </w:pPr>
    </w:p>
    <w:tbl>
      <w:tblPr>
        <w:tblStyle w:val="Ombrejatsuau"/>
        <w:tblW w:w="632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69"/>
        <w:gridCol w:w="1786"/>
        <w:gridCol w:w="1868"/>
      </w:tblGrid>
      <w:tr w:rsidR="0091722D" w:rsidTr="00917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hormone</w:t>
            </w:r>
            <w:proofErr w:type="spellEnd"/>
          </w:p>
        </w:tc>
        <w:tc>
          <w:tcPr>
            <w:tcW w:w="1786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Control</w:t>
            </w:r>
          </w:p>
        </w:tc>
        <w:tc>
          <w:tcPr>
            <w:tcW w:w="1868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1g GSPE/Kg </w:t>
            </w:r>
            <w:proofErr w:type="spellStart"/>
            <w:r>
              <w:rPr>
                <w:rFonts w:ascii="Calibri" w:hAnsi="Calibri"/>
                <w:color w:val="000000"/>
              </w:rPr>
              <w:t>bw</w:t>
            </w:r>
            <w:proofErr w:type="spellEnd"/>
          </w:p>
        </w:tc>
      </w:tr>
      <w:tr w:rsidR="0091722D" w:rsidTr="00917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GLP-1 (</w:t>
            </w:r>
            <w:proofErr w:type="spellStart"/>
            <w:r>
              <w:rPr>
                <w:rFonts w:ascii="Calibri" w:hAnsi="Calibri"/>
                <w:color w:val="000000"/>
              </w:rPr>
              <w:t>pmol</w:t>
            </w:r>
            <w:proofErr w:type="spellEnd"/>
            <w:r>
              <w:rPr>
                <w:rFonts w:ascii="Calibri" w:hAnsi="Calibri"/>
                <w:color w:val="000000"/>
              </w:rPr>
              <w:t>/L)</w:t>
            </w:r>
          </w:p>
        </w:tc>
        <w:tc>
          <w:tcPr>
            <w:tcW w:w="1786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1.80 ± 0.33</w:t>
            </w:r>
          </w:p>
        </w:tc>
        <w:tc>
          <w:tcPr>
            <w:tcW w:w="1868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2.72 ± 0.77</w:t>
            </w:r>
          </w:p>
        </w:tc>
      </w:tr>
      <w:tr w:rsidR="0091722D" w:rsidTr="0091722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PYY (</w:t>
            </w:r>
            <w:proofErr w:type="spellStart"/>
            <w:r>
              <w:rPr>
                <w:rFonts w:ascii="Calibri" w:hAnsi="Calibri"/>
                <w:color w:val="000000"/>
              </w:rPr>
              <w:t>μg</w:t>
            </w:r>
            <w:proofErr w:type="spellEnd"/>
            <w:r>
              <w:rPr>
                <w:rFonts w:ascii="Calibri" w:hAnsi="Calibri"/>
                <w:color w:val="000000"/>
              </w:rPr>
              <w:t>/L)</w:t>
            </w:r>
          </w:p>
        </w:tc>
        <w:tc>
          <w:tcPr>
            <w:tcW w:w="1786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 ± 0.07</w:t>
            </w:r>
          </w:p>
        </w:tc>
        <w:tc>
          <w:tcPr>
            <w:tcW w:w="1868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 ± 0.04</w:t>
            </w:r>
          </w:p>
        </w:tc>
      </w:tr>
      <w:tr w:rsidR="0091722D" w:rsidTr="00917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CCK (</w:t>
            </w:r>
            <w:proofErr w:type="spellStart"/>
            <w:r>
              <w:rPr>
                <w:rFonts w:ascii="Calibri" w:hAnsi="Calibri"/>
                <w:color w:val="000000"/>
              </w:rPr>
              <w:t>μg</w:t>
            </w:r>
            <w:proofErr w:type="spellEnd"/>
            <w:r>
              <w:rPr>
                <w:rFonts w:ascii="Calibri" w:hAnsi="Calibri"/>
                <w:color w:val="000000"/>
              </w:rPr>
              <w:t>/L)</w:t>
            </w:r>
          </w:p>
        </w:tc>
        <w:tc>
          <w:tcPr>
            <w:tcW w:w="1786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0.52 ± 0.05</w:t>
            </w:r>
          </w:p>
        </w:tc>
        <w:tc>
          <w:tcPr>
            <w:tcW w:w="1868" w:type="dxa"/>
            <w:shd w:val="clear" w:color="auto" w:fill="FFFFFF" w:themeFill="background1"/>
            <w:noWrap/>
            <w:hideMark/>
          </w:tcPr>
          <w:p w:rsidR="0091722D" w:rsidRDefault="00917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0.53 ± 0.07</w:t>
            </w:r>
          </w:p>
        </w:tc>
      </w:tr>
    </w:tbl>
    <w:p w:rsidR="0091722D" w:rsidRDefault="0091722D" w:rsidP="0091722D">
      <w:pPr>
        <w:autoSpaceDE w:val="0"/>
        <w:autoSpaceDN w:val="0"/>
        <w:adjustRightInd w:val="0"/>
        <w:rPr>
          <w:rFonts w:ascii="AdvOT999035f4" w:eastAsiaTheme="minorHAnsi" w:hAnsi="AdvOT999035f4" w:cs="AdvOT999035f4"/>
          <w:sz w:val="20"/>
          <w:szCs w:val="20"/>
          <w:lang w:val="en-US" w:eastAsia="en-US"/>
        </w:rPr>
      </w:pPr>
      <w:r w:rsidRPr="0091722D">
        <w:rPr>
          <w:sz w:val="20"/>
          <w:szCs w:val="20"/>
        </w:rPr>
        <w:t xml:space="preserve">No significant </w:t>
      </w:r>
      <w:proofErr w:type="spellStart"/>
      <w:r w:rsidRPr="0091722D">
        <w:rPr>
          <w:sz w:val="20"/>
          <w:szCs w:val="20"/>
        </w:rPr>
        <w:t>differences</w:t>
      </w:r>
      <w:proofErr w:type="spellEnd"/>
      <w:r w:rsidRPr="0091722D">
        <w:rPr>
          <w:sz w:val="20"/>
          <w:szCs w:val="20"/>
        </w:rPr>
        <w:t xml:space="preserve">, </w:t>
      </w:r>
      <w:proofErr w:type="spellStart"/>
      <w:r w:rsidRPr="0091722D">
        <w:rPr>
          <w:sz w:val="20"/>
          <w:szCs w:val="20"/>
        </w:rPr>
        <w:t>assessed</w:t>
      </w:r>
      <w:proofErr w:type="spellEnd"/>
      <w:r w:rsidRPr="0091722D">
        <w:rPr>
          <w:sz w:val="20"/>
          <w:szCs w:val="20"/>
        </w:rPr>
        <w:t xml:space="preserve"> </w:t>
      </w:r>
      <w:proofErr w:type="spellStart"/>
      <w:r w:rsidRPr="0091722D">
        <w:rPr>
          <w:sz w:val="20"/>
          <w:szCs w:val="20"/>
        </w:rPr>
        <w:t>by</w:t>
      </w:r>
      <w:proofErr w:type="spellEnd"/>
      <w:r w:rsidRPr="0091722D">
        <w:rPr>
          <w:sz w:val="20"/>
          <w:szCs w:val="20"/>
        </w:rPr>
        <w:t xml:space="preserve"> t-test (p &lt; 0.05) were found between control and GSPE</w:t>
      </w:r>
      <w:r w:rsidRPr="0091722D">
        <w:rPr>
          <w:rFonts w:ascii="AdvOT999035f4" w:eastAsiaTheme="minorHAnsi" w:hAnsi="AdvOT999035f4" w:cs="AdvOT999035f4"/>
          <w:sz w:val="20"/>
          <w:szCs w:val="20"/>
          <w:lang w:val="en-US" w:eastAsia="en-US"/>
        </w:rPr>
        <w:t>.</w:t>
      </w:r>
    </w:p>
    <w:p w:rsidR="00B41D4B" w:rsidRDefault="00B41D4B" w:rsidP="0091722D">
      <w:pPr>
        <w:autoSpaceDE w:val="0"/>
        <w:autoSpaceDN w:val="0"/>
        <w:adjustRightInd w:val="0"/>
        <w:rPr>
          <w:rFonts w:ascii="AdvOT999035f4" w:eastAsiaTheme="minorHAnsi" w:hAnsi="AdvOT999035f4" w:cs="AdvOT999035f4"/>
          <w:sz w:val="20"/>
          <w:szCs w:val="20"/>
          <w:lang w:val="en-US" w:eastAsia="en-US"/>
        </w:rPr>
      </w:pPr>
    </w:p>
    <w:p w:rsidR="00B41D4B" w:rsidRPr="00B41D4B" w:rsidRDefault="00B41D4B" w:rsidP="0091722D">
      <w:pPr>
        <w:autoSpaceDE w:val="0"/>
        <w:autoSpaceDN w:val="0"/>
        <w:adjustRightInd w:val="0"/>
        <w:rPr>
          <w:rFonts w:ascii="AdvOT999035f4" w:eastAsiaTheme="minorHAnsi" w:hAnsi="AdvOT999035f4" w:cs="AdvOT999035f4"/>
          <w:lang w:val="en-US" w:eastAsia="en-US"/>
        </w:rPr>
      </w:pPr>
    </w:p>
    <w:p w:rsidR="00B41D4B" w:rsidRPr="001E4AC6" w:rsidRDefault="00B41D4B" w:rsidP="0091722D">
      <w:pPr>
        <w:autoSpaceDE w:val="0"/>
        <w:autoSpaceDN w:val="0"/>
        <w:adjustRightInd w:val="0"/>
        <w:rPr>
          <w:rFonts w:eastAsiaTheme="minorHAnsi"/>
          <w:b/>
          <w:lang w:val="es-ES" w:eastAsia="en-US"/>
        </w:rPr>
      </w:pPr>
      <w:r w:rsidRPr="001E4AC6">
        <w:rPr>
          <w:rFonts w:eastAsiaTheme="minorHAnsi"/>
          <w:b/>
          <w:lang w:val="es-ES" w:eastAsia="en-US"/>
        </w:rPr>
        <w:t>References:</w:t>
      </w:r>
    </w:p>
    <w:p w:rsidR="00B41D4B" w:rsidRPr="001E4AC6" w:rsidRDefault="00B41D4B">
      <w:pPr>
        <w:pStyle w:val="NormalWeb"/>
        <w:ind w:left="480" w:hanging="480"/>
        <w:divId w:val="1411730317"/>
        <w:rPr>
          <w:rFonts w:ascii="AdvOT999035f4" w:hAnsi="AdvOT999035f4"/>
          <w:noProof/>
          <w:sz w:val="20"/>
          <w:lang w:val="en-US"/>
        </w:rPr>
      </w:pPr>
      <w:r>
        <w:rPr>
          <w:rFonts w:ascii="AdvOT999035f4" w:eastAsiaTheme="minorHAnsi" w:hAnsi="AdvOT999035f4" w:cs="AdvOT999035f4"/>
          <w:sz w:val="20"/>
          <w:szCs w:val="20"/>
          <w:lang w:val="en-US" w:eastAsia="en-US"/>
        </w:rPr>
        <w:fldChar w:fldCharType="begin" w:fldLock="1"/>
      </w:r>
      <w:r w:rsidRPr="001E4AC6">
        <w:rPr>
          <w:rFonts w:ascii="AdvOT999035f4" w:eastAsiaTheme="minorHAnsi" w:hAnsi="AdvOT999035f4" w:cs="AdvOT999035f4"/>
          <w:sz w:val="20"/>
          <w:szCs w:val="20"/>
          <w:lang w:eastAsia="en-US"/>
        </w:rPr>
        <w:instrText xml:space="preserve">ADDIN Mendeley Bibliography CSL_BIBLIOGRAPHY </w:instrText>
      </w:r>
      <w:r>
        <w:rPr>
          <w:rFonts w:ascii="AdvOT999035f4" w:eastAsiaTheme="minorHAnsi" w:hAnsi="AdvOT999035f4" w:cs="AdvOT999035f4"/>
          <w:sz w:val="20"/>
          <w:szCs w:val="20"/>
          <w:lang w:val="en-US" w:eastAsia="en-US"/>
        </w:rPr>
        <w:fldChar w:fldCharType="separate"/>
      </w:r>
      <w:r w:rsidRPr="00B41D4B">
        <w:rPr>
          <w:rFonts w:ascii="AdvOT999035f4" w:hAnsi="AdvOT999035f4"/>
          <w:noProof/>
          <w:sz w:val="20"/>
        </w:rPr>
        <w:t xml:space="preserve">Margalef, M., Pons, Z., Iglesias-Carres, L., Bravo, F. I., Muguerza, B., &amp; Arola-Arnal, A. (2015). </w:t>
      </w:r>
      <w:r w:rsidRPr="001E4AC6">
        <w:rPr>
          <w:rFonts w:ascii="AdvOT999035f4" w:hAnsi="AdvOT999035f4"/>
          <w:noProof/>
          <w:sz w:val="20"/>
          <w:lang w:val="en-US"/>
        </w:rPr>
        <w:t xml:space="preserve">Lack of Tissue Accumulation of Grape Seed Flavanols after Daily Long-Term Administration in Healthy and Cafeteria-Diet Obese Rats. </w:t>
      </w:r>
      <w:r w:rsidRPr="001E4AC6">
        <w:rPr>
          <w:rFonts w:ascii="AdvOT999035f4" w:hAnsi="AdvOT999035f4"/>
          <w:i/>
          <w:iCs/>
          <w:noProof/>
          <w:sz w:val="20"/>
          <w:lang w:val="en-US"/>
        </w:rPr>
        <w:t>Journal of Agricultural and Food Chemistry</w:t>
      </w:r>
      <w:r w:rsidRPr="001E4AC6">
        <w:rPr>
          <w:rFonts w:ascii="AdvOT999035f4" w:hAnsi="AdvOT999035f4"/>
          <w:noProof/>
          <w:sz w:val="20"/>
          <w:lang w:val="en-US"/>
        </w:rPr>
        <w:t xml:space="preserve">, </w:t>
      </w:r>
      <w:r w:rsidRPr="001E4AC6">
        <w:rPr>
          <w:rFonts w:ascii="AdvOT999035f4" w:hAnsi="AdvOT999035f4"/>
          <w:i/>
          <w:iCs/>
          <w:noProof/>
          <w:sz w:val="20"/>
          <w:lang w:val="en-US"/>
        </w:rPr>
        <w:t>63</w:t>
      </w:r>
      <w:r w:rsidRPr="001E4AC6">
        <w:rPr>
          <w:rFonts w:ascii="AdvOT999035f4" w:hAnsi="AdvOT999035f4"/>
          <w:noProof/>
          <w:sz w:val="20"/>
          <w:lang w:val="en-US"/>
        </w:rPr>
        <w:t>(45), 9996–10003. http://doi.org/10.1021/acs.jafc.5b03856</w:t>
      </w:r>
    </w:p>
    <w:p w:rsidR="00B41D4B" w:rsidRPr="0091722D" w:rsidRDefault="00B41D4B" w:rsidP="00B41D4B">
      <w:pPr>
        <w:pStyle w:val="NormalWeb"/>
        <w:ind w:left="480" w:hanging="480"/>
        <w:rPr>
          <w:sz w:val="20"/>
          <w:szCs w:val="20"/>
        </w:rPr>
      </w:pPr>
      <w:r>
        <w:rPr>
          <w:rFonts w:ascii="AdvOT999035f4" w:eastAsiaTheme="minorHAnsi" w:hAnsi="AdvOT999035f4" w:cs="AdvOT999035f4"/>
          <w:sz w:val="20"/>
          <w:szCs w:val="20"/>
          <w:lang w:val="en-US" w:eastAsia="en-US"/>
        </w:rPr>
        <w:fldChar w:fldCharType="end"/>
      </w:r>
    </w:p>
    <w:sectPr w:rsidR="00B41D4B" w:rsidRPr="0091722D" w:rsidSect="00B50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d3a5f74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999035f4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jE2NzQwMTCzsDQxMTVR0lEKTi0uzszPAykwqQUAgi+BeSwAAAA="/>
  </w:docVars>
  <w:rsids>
    <w:rsidRoot w:val="004E5422"/>
    <w:rsid w:val="00124AF1"/>
    <w:rsid w:val="001E4AC6"/>
    <w:rsid w:val="002047DD"/>
    <w:rsid w:val="002E01FC"/>
    <w:rsid w:val="00383187"/>
    <w:rsid w:val="00487CDA"/>
    <w:rsid w:val="004E1643"/>
    <w:rsid w:val="004E5422"/>
    <w:rsid w:val="00503EAE"/>
    <w:rsid w:val="00602F5A"/>
    <w:rsid w:val="0091722D"/>
    <w:rsid w:val="009E64E3"/>
    <w:rsid w:val="00B41D4B"/>
    <w:rsid w:val="00B4276B"/>
    <w:rsid w:val="00B5008D"/>
    <w:rsid w:val="00CD48A5"/>
    <w:rsid w:val="00D163B0"/>
    <w:rsid w:val="00D5355D"/>
    <w:rsid w:val="00D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39F27-1591-4587-81EF-840E79B0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rsid w:val="004E54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4E5422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E5422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table" w:customStyle="1" w:styleId="Sombreadoclaro1">
    <w:name w:val="Sombreado claro1"/>
    <w:basedOn w:val="Taulanormal"/>
    <w:uiPriority w:val="60"/>
    <w:rsid w:val="004E542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ca-ES" w:eastAsia="ca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4E542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E5422"/>
    <w:rPr>
      <w:rFonts w:ascii="Tahoma" w:eastAsia="Times New Roman" w:hAnsi="Tahoma" w:cs="Tahoma"/>
      <w:sz w:val="16"/>
      <w:szCs w:val="16"/>
      <w:lang w:val="ca-ES" w:eastAsia="ca-ES"/>
    </w:rPr>
  </w:style>
  <w:style w:type="table" w:styleId="Ombrejatsuau">
    <w:name w:val="Light Shading"/>
    <w:basedOn w:val="Taulanormal"/>
    <w:uiPriority w:val="60"/>
    <w:rsid w:val="009172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B41D4B"/>
    <w:pPr>
      <w:spacing w:before="100" w:beforeAutospacing="1" w:after="100" w:afterAutospacing="1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EFFA4-3DD3-45A8-9616-F6855BC3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Montserrat Pinent Armengol</cp:lastModifiedBy>
  <cp:revision>5</cp:revision>
  <dcterms:created xsi:type="dcterms:W3CDTF">2016-12-14T14:02:00Z</dcterms:created>
  <dcterms:modified xsi:type="dcterms:W3CDTF">2016-12-15T14:41:00Z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a.casanova.marti@gmail.com@www.mendeley.com</vt:lpwstr>
  </property>
  <property fmtid="{D5CDD505-2E9C-101B-9397-08002B2CF9AE}" pid="4" name="Mendeley Citation Style_1">
    <vt:lpwstr>http://www.zotero.org/styles/food-chemistry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http://www.zotero.org/styles/food-chemistry</vt:lpwstr>
  </property>
  <property fmtid="{D5CDD505-2E9C-101B-9397-08002B2CF9AE}" pid="16" name="Mendeley Recent Style Name 5_1">
    <vt:lpwstr>Food Chemistry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