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92110" w14:textId="77777777" w:rsidR="00EB7A45" w:rsidRDefault="00082F54">
      <w:pPr>
        <w:spacing w:before="100" w:after="160"/>
      </w:pPr>
      <w:r>
        <w:rPr>
          <w:rFonts w:eastAsia="Times New Roman"/>
          <w:color w:val="FF0000"/>
        </w:rPr>
        <w:t>Table S1. Comparison of the common complete-case analytic sample and otherwise eligible participants excluded because of missing BMI or model covariates.</w:t>
      </w:r>
    </w:p>
    <w:tbl>
      <w:tblPr>
        <w:tblStyle w:val="Tabellrutnt"/>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2"/>
        <w:gridCol w:w="2448"/>
        <w:gridCol w:w="2880"/>
      </w:tblGrid>
      <w:tr w:rsidR="00EB7A45" w14:paraId="27ADCC14" w14:textId="77777777">
        <w:trPr>
          <w:tblHeader/>
          <w:jc w:val="center"/>
        </w:trPr>
        <w:tc>
          <w:tcPr>
            <w:tcW w:w="4032" w:type="dxa"/>
            <w:tcBorders>
              <w:bottom w:val="single" w:sz="4" w:space="0" w:color="auto"/>
            </w:tcBorders>
            <w:vAlign w:val="center"/>
          </w:tcPr>
          <w:p w14:paraId="07361C96" w14:textId="77777777" w:rsidR="00EB7A45" w:rsidRDefault="00082F54">
            <w:pPr>
              <w:spacing w:after="0" w:line="240" w:lineRule="auto"/>
            </w:pPr>
            <w:r>
              <w:rPr>
                <w:rFonts w:eastAsia="Times New Roman"/>
                <w:b/>
                <w:color w:val="FF0000"/>
                <w:sz w:val="19"/>
              </w:rPr>
              <w:t>Characteristic</w:t>
            </w:r>
          </w:p>
        </w:tc>
        <w:tc>
          <w:tcPr>
            <w:tcW w:w="2448" w:type="dxa"/>
            <w:tcBorders>
              <w:bottom w:val="single" w:sz="4" w:space="0" w:color="auto"/>
            </w:tcBorders>
            <w:vAlign w:val="center"/>
          </w:tcPr>
          <w:p w14:paraId="41F35BB1" w14:textId="77777777" w:rsidR="00EB7A45" w:rsidRDefault="00082F54">
            <w:pPr>
              <w:spacing w:after="0" w:line="240" w:lineRule="auto"/>
            </w:pPr>
            <w:r>
              <w:rPr>
                <w:rFonts w:eastAsia="Times New Roman"/>
                <w:b/>
                <w:color w:val="FF0000"/>
                <w:sz w:val="19"/>
              </w:rPr>
              <w:t>Complete cases</w:t>
            </w:r>
            <w:r>
              <w:rPr>
                <w:rFonts w:eastAsia="Times New Roman"/>
                <w:b/>
                <w:color w:val="FF0000"/>
                <w:sz w:val="19"/>
              </w:rPr>
              <w:br/>
              <w:t>N = 6,145</w:t>
            </w:r>
          </w:p>
        </w:tc>
        <w:tc>
          <w:tcPr>
            <w:tcW w:w="2880" w:type="dxa"/>
            <w:tcBorders>
              <w:bottom w:val="single" w:sz="4" w:space="0" w:color="auto"/>
            </w:tcBorders>
            <w:vAlign w:val="center"/>
          </w:tcPr>
          <w:p w14:paraId="30116DCB" w14:textId="77777777" w:rsidR="00EB7A45" w:rsidRDefault="00082F54">
            <w:pPr>
              <w:spacing w:after="0" w:line="240" w:lineRule="auto"/>
            </w:pPr>
            <w:r>
              <w:rPr>
                <w:rFonts w:eastAsia="Times New Roman"/>
                <w:b/>
                <w:color w:val="FF0000"/>
                <w:sz w:val="19"/>
              </w:rPr>
              <w:t>Excluded for missing BMI/covariates</w:t>
            </w:r>
            <w:r>
              <w:rPr>
                <w:rFonts w:eastAsia="Times New Roman"/>
                <w:b/>
                <w:color w:val="FF0000"/>
                <w:sz w:val="19"/>
              </w:rPr>
              <w:br/>
              <w:t>N = 1,157</w:t>
            </w:r>
          </w:p>
        </w:tc>
      </w:tr>
      <w:tr w:rsidR="00EB7A45" w14:paraId="42659518" w14:textId="77777777">
        <w:trPr>
          <w:jc w:val="center"/>
        </w:trPr>
        <w:tc>
          <w:tcPr>
            <w:tcW w:w="4032" w:type="dxa"/>
            <w:tcBorders>
              <w:top w:val="single" w:sz="4" w:space="0" w:color="auto"/>
            </w:tcBorders>
            <w:vAlign w:val="center"/>
          </w:tcPr>
          <w:p w14:paraId="517AF21B" w14:textId="77777777" w:rsidR="00EB7A45" w:rsidRDefault="00082F54">
            <w:pPr>
              <w:spacing w:after="0" w:line="240" w:lineRule="auto"/>
            </w:pPr>
            <w:r>
              <w:rPr>
                <w:rFonts w:eastAsia="Times New Roman"/>
                <w:color w:val="FF0000"/>
                <w:sz w:val="19"/>
              </w:rPr>
              <w:t>Age, years</w:t>
            </w:r>
          </w:p>
        </w:tc>
        <w:tc>
          <w:tcPr>
            <w:tcW w:w="2448" w:type="dxa"/>
            <w:tcBorders>
              <w:top w:val="single" w:sz="4" w:space="0" w:color="auto"/>
            </w:tcBorders>
            <w:vAlign w:val="center"/>
          </w:tcPr>
          <w:p w14:paraId="74A6E3A7" w14:textId="77777777" w:rsidR="00EB7A45" w:rsidRDefault="00082F54">
            <w:pPr>
              <w:spacing w:after="0" w:line="240" w:lineRule="auto"/>
            </w:pPr>
            <w:r>
              <w:rPr>
                <w:rFonts w:eastAsia="Times New Roman"/>
                <w:color w:val="FF0000"/>
                <w:sz w:val="19"/>
              </w:rPr>
              <w:t>48.7 ± 17.4</w:t>
            </w:r>
          </w:p>
        </w:tc>
        <w:tc>
          <w:tcPr>
            <w:tcW w:w="2880" w:type="dxa"/>
            <w:tcBorders>
              <w:top w:val="single" w:sz="4" w:space="0" w:color="auto"/>
            </w:tcBorders>
            <w:vAlign w:val="center"/>
          </w:tcPr>
          <w:p w14:paraId="41786272" w14:textId="77777777" w:rsidR="00EB7A45" w:rsidRDefault="00082F54">
            <w:pPr>
              <w:spacing w:after="0" w:line="240" w:lineRule="auto"/>
            </w:pPr>
            <w:r>
              <w:rPr>
                <w:rFonts w:eastAsia="Times New Roman"/>
                <w:color w:val="FF0000"/>
                <w:sz w:val="19"/>
              </w:rPr>
              <w:t>46.9 ± 18.2</w:t>
            </w:r>
          </w:p>
        </w:tc>
      </w:tr>
      <w:tr w:rsidR="00EB7A45" w14:paraId="27577011" w14:textId="77777777">
        <w:trPr>
          <w:jc w:val="center"/>
        </w:trPr>
        <w:tc>
          <w:tcPr>
            <w:tcW w:w="4032" w:type="dxa"/>
            <w:vAlign w:val="center"/>
          </w:tcPr>
          <w:p w14:paraId="4E157FDA" w14:textId="77777777" w:rsidR="00EB7A45" w:rsidRDefault="00082F54">
            <w:pPr>
              <w:spacing w:after="0" w:line="240" w:lineRule="auto"/>
            </w:pPr>
            <w:r>
              <w:rPr>
                <w:rFonts w:eastAsia="Times New Roman"/>
                <w:color w:val="FF0000"/>
                <w:sz w:val="19"/>
              </w:rPr>
              <w:t>Female, %</w:t>
            </w:r>
          </w:p>
        </w:tc>
        <w:tc>
          <w:tcPr>
            <w:tcW w:w="2448" w:type="dxa"/>
            <w:vAlign w:val="center"/>
          </w:tcPr>
          <w:p w14:paraId="29D6A8A3" w14:textId="77777777" w:rsidR="00EB7A45" w:rsidRDefault="00082F54">
            <w:pPr>
              <w:spacing w:after="0" w:line="240" w:lineRule="auto"/>
            </w:pPr>
            <w:r>
              <w:rPr>
                <w:rFonts w:eastAsia="Times New Roman"/>
                <w:color w:val="FF0000"/>
                <w:sz w:val="19"/>
              </w:rPr>
              <w:t>51.6</w:t>
            </w:r>
          </w:p>
        </w:tc>
        <w:tc>
          <w:tcPr>
            <w:tcW w:w="2880" w:type="dxa"/>
            <w:vAlign w:val="center"/>
          </w:tcPr>
          <w:p w14:paraId="2B1031E9" w14:textId="77777777" w:rsidR="00EB7A45" w:rsidRDefault="00082F54">
            <w:pPr>
              <w:spacing w:after="0" w:line="240" w:lineRule="auto"/>
            </w:pPr>
            <w:r>
              <w:rPr>
                <w:rFonts w:eastAsia="Times New Roman"/>
                <w:color w:val="FF0000"/>
                <w:sz w:val="19"/>
              </w:rPr>
              <w:t>53.8</w:t>
            </w:r>
          </w:p>
        </w:tc>
      </w:tr>
      <w:tr w:rsidR="00EB7A45" w14:paraId="7BA3C25B" w14:textId="77777777">
        <w:trPr>
          <w:jc w:val="center"/>
        </w:trPr>
        <w:tc>
          <w:tcPr>
            <w:tcW w:w="4032" w:type="dxa"/>
            <w:vAlign w:val="center"/>
          </w:tcPr>
          <w:p w14:paraId="60730D65" w14:textId="77777777" w:rsidR="00EB7A45" w:rsidRDefault="00082F54">
            <w:pPr>
              <w:spacing w:after="0" w:line="240" w:lineRule="auto"/>
            </w:pPr>
            <w:r>
              <w:rPr>
                <w:rFonts w:eastAsia="Times New Roman"/>
                <w:color w:val="FF0000"/>
                <w:sz w:val="19"/>
              </w:rPr>
              <w:t>Dietary fiber, g/day</w:t>
            </w:r>
          </w:p>
        </w:tc>
        <w:tc>
          <w:tcPr>
            <w:tcW w:w="2448" w:type="dxa"/>
            <w:vAlign w:val="center"/>
          </w:tcPr>
          <w:p w14:paraId="38D5D800" w14:textId="77777777" w:rsidR="00EB7A45" w:rsidRDefault="00082F54">
            <w:pPr>
              <w:spacing w:after="0" w:line="240" w:lineRule="auto"/>
            </w:pPr>
            <w:r>
              <w:rPr>
                <w:rFonts w:eastAsia="Times New Roman"/>
                <w:color w:val="FF0000"/>
                <w:sz w:val="19"/>
              </w:rPr>
              <w:t>16.2 ± 9.8</w:t>
            </w:r>
          </w:p>
        </w:tc>
        <w:tc>
          <w:tcPr>
            <w:tcW w:w="2880" w:type="dxa"/>
            <w:vAlign w:val="center"/>
          </w:tcPr>
          <w:p w14:paraId="7ECC3896" w14:textId="77777777" w:rsidR="00EB7A45" w:rsidRDefault="00082F54">
            <w:pPr>
              <w:spacing w:after="0" w:line="240" w:lineRule="auto"/>
            </w:pPr>
            <w:r>
              <w:rPr>
                <w:rFonts w:eastAsia="Times New Roman"/>
                <w:color w:val="FF0000"/>
                <w:sz w:val="19"/>
              </w:rPr>
              <w:t>15.3 ± 9.4</w:t>
            </w:r>
          </w:p>
        </w:tc>
      </w:tr>
      <w:tr w:rsidR="00EB7A45" w14:paraId="26B443AC" w14:textId="77777777">
        <w:trPr>
          <w:jc w:val="center"/>
        </w:trPr>
        <w:tc>
          <w:tcPr>
            <w:tcW w:w="4032" w:type="dxa"/>
            <w:vAlign w:val="center"/>
          </w:tcPr>
          <w:p w14:paraId="5464249A" w14:textId="77777777" w:rsidR="00EB7A45" w:rsidRDefault="00082F54">
            <w:pPr>
              <w:spacing w:after="0" w:line="240" w:lineRule="auto"/>
            </w:pPr>
            <w:r>
              <w:rPr>
                <w:rFonts w:eastAsia="Times New Roman"/>
                <w:color w:val="FF0000"/>
                <w:sz w:val="19"/>
              </w:rPr>
              <w:t>Current asthma, %</w:t>
            </w:r>
          </w:p>
        </w:tc>
        <w:tc>
          <w:tcPr>
            <w:tcW w:w="2448" w:type="dxa"/>
            <w:vAlign w:val="center"/>
          </w:tcPr>
          <w:p w14:paraId="20DD186A" w14:textId="77777777" w:rsidR="00EB7A45" w:rsidRDefault="00082F54">
            <w:pPr>
              <w:spacing w:after="0" w:line="240" w:lineRule="auto"/>
            </w:pPr>
            <w:r>
              <w:rPr>
                <w:rFonts w:eastAsia="Times New Roman"/>
                <w:color w:val="FF0000"/>
                <w:sz w:val="19"/>
              </w:rPr>
              <w:t>8.7</w:t>
            </w:r>
          </w:p>
        </w:tc>
        <w:tc>
          <w:tcPr>
            <w:tcW w:w="2880" w:type="dxa"/>
            <w:vAlign w:val="center"/>
          </w:tcPr>
          <w:p w14:paraId="5CFE66A2" w14:textId="77777777" w:rsidR="00EB7A45" w:rsidRDefault="00082F54">
            <w:pPr>
              <w:spacing w:after="0" w:line="240" w:lineRule="auto"/>
            </w:pPr>
            <w:r>
              <w:rPr>
                <w:rFonts w:eastAsia="Times New Roman"/>
                <w:color w:val="FF0000"/>
                <w:sz w:val="19"/>
              </w:rPr>
              <w:t>9.4</w:t>
            </w:r>
          </w:p>
        </w:tc>
      </w:tr>
      <w:tr w:rsidR="00EB7A45" w14:paraId="3EC61364" w14:textId="77777777">
        <w:trPr>
          <w:jc w:val="center"/>
        </w:trPr>
        <w:tc>
          <w:tcPr>
            <w:tcW w:w="4032" w:type="dxa"/>
            <w:vAlign w:val="center"/>
          </w:tcPr>
          <w:p w14:paraId="6C94E9C2" w14:textId="77777777" w:rsidR="00EB7A45" w:rsidRDefault="00082F54">
            <w:pPr>
              <w:spacing w:after="0" w:line="240" w:lineRule="auto"/>
            </w:pPr>
            <w:r>
              <w:rPr>
                <w:rFonts w:eastAsia="Times New Roman"/>
                <w:color w:val="FF0000"/>
                <w:sz w:val="19"/>
              </w:rPr>
              <w:t>BMI, kg/m²</w:t>
            </w:r>
          </w:p>
        </w:tc>
        <w:tc>
          <w:tcPr>
            <w:tcW w:w="2448" w:type="dxa"/>
            <w:vAlign w:val="center"/>
          </w:tcPr>
          <w:p w14:paraId="27D8B43C" w14:textId="77777777" w:rsidR="00EB7A45" w:rsidRDefault="00082F54">
            <w:pPr>
              <w:spacing w:after="0" w:line="240" w:lineRule="auto"/>
            </w:pPr>
            <w:r>
              <w:rPr>
                <w:rFonts w:eastAsia="Times New Roman"/>
                <w:color w:val="FF0000"/>
                <w:sz w:val="19"/>
              </w:rPr>
              <w:t>29.8 ± 7.1</w:t>
            </w:r>
          </w:p>
        </w:tc>
        <w:tc>
          <w:tcPr>
            <w:tcW w:w="2880" w:type="dxa"/>
            <w:vAlign w:val="center"/>
          </w:tcPr>
          <w:p w14:paraId="3F8725E8" w14:textId="77777777" w:rsidR="00EB7A45" w:rsidRDefault="00082F54">
            <w:pPr>
              <w:spacing w:after="0" w:line="240" w:lineRule="auto"/>
            </w:pPr>
            <w:r>
              <w:rPr>
                <w:rFonts w:eastAsia="Times New Roman"/>
                <w:color w:val="FF0000"/>
                <w:sz w:val="19"/>
              </w:rPr>
              <w:t>30.2 ± 7.5*</w:t>
            </w:r>
          </w:p>
        </w:tc>
      </w:tr>
      <w:tr w:rsidR="00EB7A45" w14:paraId="654C140A" w14:textId="77777777">
        <w:trPr>
          <w:jc w:val="center"/>
        </w:trPr>
        <w:tc>
          <w:tcPr>
            <w:tcW w:w="4032" w:type="dxa"/>
            <w:vAlign w:val="center"/>
          </w:tcPr>
          <w:p w14:paraId="4FE2C290" w14:textId="77777777" w:rsidR="00EB7A45" w:rsidRDefault="00082F54">
            <w:pPr>
              <w:spacing w:after="0" w:line="240" w:lineRule="auto"/>
            </w:pPr>
            <w:r>
              <w:rPr>
                <w:rFonts w:eastAsia="Times New Roman"/>
                <w:color w:val="FF0000"/>
                <w:sz w:val="19"/>
              </w:rPr>
              <w:t>Non-Hispanic White, %</w:t>
            </w:r>
          </w:p>
        </w:tc>
        <w:tc>
          <w:tcPr>
            <w:tcW w:w="2448" w:type="dxa"/>
            <w:vAlign w:val="center"/>
          </w:tcPr>
          <w:p w14:paraId="494EE2FB" w14:textId="77777777" w:rsidR="00EB7A45" w:rsidRDefault="00082F54">
            <w:pPr>
              <w:spacing w:after="0" w:line="240" w:lineRule="auto"/>
            </w:pPr>
            <w:r>
              <w:rPr>
                <w:rFonts w:eastAsia="Times New Roman"/>
                <w:color w:val="FF0000"/>
                <w:sz w:val="19"/>
              </w:rPr>
              <w:t>64.8</w:t>
            </w:r>
          </w:p>
        </w:tc>
        <w:tc>
          <w:tcPr>
            <w:tcW w:w="2880" w:type="dxa"/>
            <w:vAlign w:val="center"/>
          </w:tcPr>
          <w:p w14:paraId="72669AC3" w14:textId="77777777" w:rsidR="00EB7A45" w:rsidRDefault="00082F54">
            <w:pPr>
              <w:spacing w:after="0" w:line="240" w:lineRule="auto"/>
            </w:pPr>
            <w:r>
              <w:rPr>
                <w:rFonts w:eastAsia="Times New Roman"/>
                <w:color w:val="FF0000"/>
                <w:sz w:val="19"/>
              </w:rPr>
              <w:t>59.5</w:t>
            </w:r>
          </w:p>
        </w:tc>
      </w:tr>
      <w:tr w:rsidR="00EB7A45" w14:paraId="74D29965" w14:textId="77777777">
        <w:trPr>
          <w:jc w:val="center"/>
        </w:trPr>
        <w:tc>
          <w:tcPr>
            <w:tcW w:w="4032" w:type="dxa"/>
            <w:vAlign w:val="center"/>
          </w:tcPr>
          <w:p w14:paraId="32A99E5F" w14:textId="77777777" w:rsidR="00EB7A45" w:rsidRDefault="00082F54">
            <w:pPr>
              <w:spacing w:after="0" w:line="240" w:lineRule="auto"/>
            </w:pPr>
            <w:r>
              <w:rPr>
                <w:rFonts w:eastAsia="Times New Roman"/>
                <w:color w:val="FF0000"/>
                <w:sz w:val="19"/>
              </w:rPr>
              <w:t>Non-Hispanic Black, %</w:t>
            </w:r>
          </w:p>
        </w:tc>
        <w:tc>
          <w:tcPr>
            <w:tcW w:w="2448" w:type="dxa"/>
            <w:vAlign w:val="center"/>
          </w:tcPr>
          <w:p w14:paraId="302D7B14" w14:textId="77777777" w:rsidR="00EB7A45" w:rsidRDefault="00082F54">
            <w:pPr>
              <w:spacing w:after="0" w:line="240" w:lineRule="auto"/>
            </w:pPr>
            <w:r>
              <w:rPr>
                <w:rFonts w:eastAsia="Times New Roman"/>
                <w:color w:val="FF0000"/>
                <w:sz w:val="19"/>
              </w:rPr>
              <w:t>10.6</w:t>
            </w:r>
          </w:p>
        </w:tc>
        <w:tc>
          <w:tcPr>
            <w:tcW w:w="2880" w:type="dxa"/>
            <w:vAlign w:val="center"/>
          </w:tcPr>
          <w:p w14:paraId="5BD77C90" w14:textId="77777777" w:rsidR="00EB7A45" w:rsidRDefault="00082F54">
            <w:pPr>
              <w:spacing w:after="0" w:line="240" w:lineRule="auto"/>
            </w:pPr>
            <w:r>
              <w:rPr>
                <w:rFonts w:eastAsia="Times New Roman"/>
                <w:color w:val="FF0000"/>
                <w:sz w:val="19"/>
              </w:rPr>
              <w:t>13.7</w:t>
            </w:r>
          </w:p>
        </w:tc>
      </w:tr>
      <w:tr w:rsidR="00EB7A45" w14:paraId="69F4F472" w14:textId="77777777">
        <w:trPr>
          <w:jc w:val="center"/>
        </w:trPr>
        <w:tc>
          <w:tcPr>
            <w:tcW w:w="4032" w:type="dxa"/>
            <w:vAlign w:val="center"/>
          </w:tcPr>
          <w:p w14:paraId="4E53A5E9" w14:textId="77777777" w:rsidR="00EB7A45" w:rsidRDefault="00082F54">
            <w:pPr>
              <w:spacing w:after="0" w:line="240" w:lineRule="auto"/>
            </w:pPr>
            <w:r>
              <w:rPr>
                <w:rFonts w:eastAsia="Times New Roman"/>
                <w:color w:val="FF0000"/>
                <w:sz w:val="19"/>
              </w:rPr>
              <w:t>Some college or higher, %</w:t>
            </w:r>
          </w:p>
        </w:tc>
        <w:tc>
          <w:tcPr>
            <w:tcW w:w="2448" w:type="dxa"/>
            <w:vAlign w:val="center"/>
          </w:tcPr>
          <w:p w14:paraId="7A10BCF9" w14:textId="77777777" w:rsidR="00EB7A45" w:rsidRDefault="00082F54">
            <w:pPr>
              <w:spacing w:after="0" w:line="240" w:lineRule="auto"/>
            </w:pPr>
            <w:r>
              <w:rPr>
                <w:rFonts w:eastAsia="Times New Roman"/>
                <w:color w:val="FF0000"/>
                <w:sz w:val="19"/>
              </w:rPr>
              <w:t>63.0</w:t>
            </w:r>
          </w:p>
        </w:tc>
        <w:tc>
          <w:tcPr>
            <w:tcW w:w="2880" w:type="dxa"/>
            <w:vAlign w:val="center"/>
          </w:tcPr>
          <w:p w14:paraId="6F2E9AC9" w14:textId="77777777" w:rsidR="00EB7A45" w:rsidRDefault="00082F54">
            <w:pPr>
              <w:spacing w:after="0" w:line="240" w:lineRule="auto"/>
            </w:pPr>
            <w:r>
              <w:rPr>
                <w:rFonts w:eastAsia="Times New Roman"/>
                <w:color w:val="FF0000"/>
                <w:sz w:val="19"/>
              </w:rPr>
              <w:t>55.6</w:t>
            </w:r>
          </w:p>
        </w:tc>
      </w:tr>
      <w:tr w:rsidR="00EB7A45" w14:paraId="69044F7C" w14:textId="77777777">
        <w:trPr>
          <w:jc w:val="center"/>
        </w:trPr>
        <w:tc>
          <w:tcPr>
            <w:tcW w:w="4032" w:type="dxa"/>
            <w:vAlign w:val="center"/>
          </w:tcPr>
          <w:p w14:paraId="7552BB1D" w14:textId="77777777" w:rsidR="00EB7A45" w:rsidRDefault="00082F54">
            <w:pPr>
              <w:spacing w:after="0" w:line="240" w:lineRule="auto"/>
            </w:pPr>
            <w:r>
              <w:rPr>
                <w:rFonts w:eastAsia="Times New Roman"/>
                <w:color w:val="FF0000"/>
                <w:sz w:val="19"/>
              </w:rPr>
              <w:t>Current smoker, %</w:t>
            </w:r>
          </w:p>
        </w:tc>
        <w:tc>
          <w:tcPr>
            <w:tcW w:w="2448" w:type="dxa"/>
            <w:vAlign w:val="center"/>
          </w:tcPr>
          <w:p w14:paraId="01E1317D" w14:textId="77777777" w:rsidR="00EB7A45" w:rsidRDefault="00082F54">
            <w:pPr>
              <w:spacing w:after="0" w:line="240" w:lineRule="auto"/>
            </w:pPr>
            <w:r>
              <w:rPr>
                <w:rFonts w:eastAsia="Times New Roman"/>
                <w:color w:val="FF0000"/>
                <w:sz w:val="19"/>
              </w:rPr>
              <w:t>16.2</w:t>
            </w:r>
          </w:p>
        </w:tc>
        <w:tc>
          <w:tcPr>
            <w:tcW w:w="2880" w:type="dxa"/>
            <w:vAlign w:val="center"/>
          </w:tcPr>
          <w:p w14:paraId="373435E4" w14:textId="77777777" w:rsidR="00EB7A45" w:rsidRDefault="00082F54">
            <w:pPr>
              <w:spacing w:after="0" w:line="240" w:lineRule="auto"/>
            </w:pPr>
            <w:r>
              <w:rPr>
                <w:rFonts w:eastAsia="Times New Roman"/>
                <w:color w:val="FF0000"/>
                <w:sz w:val="19"/>
              </w:rPr>
              <w:t>20.5</w:t>
            </w:r>
          </w:p>
        </w:tc>
      </w:tr>
      <w:tr w:rsidR="00EB7A45" w14:paraId="008B5FE5" w14:textId="77777777">
        <w:trPr>
          <w:jc w:val="center"/>
        </w:trPr>
        <w:tc>
          <w:tcPr>
            <w:tcW w:w="4032" w:type="dxa"/>
            <w:vAlign w:val="center"/>
          </w:tcPr>
          <w:p w14:paraId="656A28DA" w14:textId="77777777" w:rsidR="00EB7A45" w:rsidRDefault="00082F54">
            <w:pPr>
              <w:spacing w:after="0" w:line="240" w:lineRule="auto"/>
            </w:pPr>
            <w:r>
              <w:rPr>
                <w:rFonts w:eastAsia="Times New Roman"/>
                <w:color w:val="FF0000"/>
                <w:sz w:val="19"/>
              </w:rPr>
              <w:t>Hypertension, %</w:t>
            </w:r>
          </w:p>
        </w:tc>
        <w:tc>
          <w:tcPr>
            <w:tcW w:w="2448" w:type="dxa"/>
            <w:vAlign w:val="center"/>
          </w:tcPr>
          <w:p w14:paraId="34AE271C" w14:textId="77777777" w:rsidR="00EB7A45" w:rsidRDefault="00082F54">
            <w:pPr>
              <w:spacing w:after="0" w:line="240" w:lineRule="auto"/>
            </w:pPr>
            <w:r>
              <w:rPr>
                <w:rFonts w:eastAsia="Times New Roman"/>
                <w:color w:val="FF0000"/>
                <w:sz w:val="19"/>
              </w:rPr>
              <w:t>33.4</w:t>
            </w:r>
          </w:p>
        </w:tc>
        <w:tc>
          <w:tcPr>
            <w:tcW w:w="2880" w:type="dxa"/>
            <w:vAlign w:val="center"/>
          </w:tcPr>
          <w:p w14:paraId="181F36F0" w14:textId="77777777" w:rsidR="00EB7A45" w:rsidRDefault="00082F54">
            <w:pPr>
              <w:spacing w:after="0" w:line="240" w:lineRule="auto"/>
            </w:pPr>
            <w:r>
              <w:rPr>
                <w:rFonts w:eastAsia="Times New Roman"/>
                <w:color w:val="FF0000"/>
                <w:sz w:val="19"/>
              </w:rPr>
              <w:t>32.1</w:t>
            </w:r>
          </w:p>
        </w:tc>
      </w:tr>
      <w:tr w:rsidR="00EB7A45" w14:paraId="7F095FD4" w14:textId="77777777">
        <w:trPr>
          <w:jc w:val="center"/>
        </w:trPr>
        <w:tc>
          <w:tcPr>
            <w:tcW w:w="4032" w:type="dxa"/>
            <w:vAlign w:val="center"/>
          </w:tcPr>
          <w:p w14:paraId="7DEA8B56" w14:textId="77777777" w:rsidR="00EB7A45" w:rsidRDefault="00082F54">
            <w:pPr>
              <w:spacing w:after="0" w:line="240" w:lineRule="auto"/>
            </w:pPr>
            <w:r>
              <w:rPr>
                <w:rFonts w:eastAsia="Times New Roman"/>
                <w:color w:val="FF0000"/>
                <w:sz w:val="19"/>
              </w:rPr>
              <w:t>Diabetes, %</w:t>
            </w:r>
          </w:p>
        </w:tc>
        <w:tc>
          <w:tcPr>
            <w:tcW w:w="2448" w:type="dxa"/>
            <w:vAlign w:val="center"/>
          </w:tcPr>
          <w:p w14:paraId="29F05675" w14:textId="77777777" w:rsidR="00EB7A45" w:rsidRDefault="00082F54">
            <w:pPr>
              <w:spacing w:after="0" w:line="240" w:lineRule="auto"/>
            </w:pPr>
            <w:r>
              <w:rPr>
                <w:rFonts w:eastAsia="Times New Roman"/>
                <w:color w:val="FF0000"/>
                <w:sz w:val="19"/>
              </w:rPr>
              <w:t>11.6</w:t>
            </w:r>
          </w:p>
        </w:tc>
        <w:tc>
          <w:tcPr>
            <w:tcW w:w="2880" w:type="dxa"/>
            <w:vAlign w:val="center"/>
          </w:tcPr>
          <w:p w14:paraId="0431A165" w14:textId="77777777" w:rsidR="00EB7A45" w:rsidRDefault="00082F54">
            <w:pPr>
              <w:spacing w:after="0" w:line="240" w:lineRule="auto"/>
            </w:pPr>
            <w:r>
              <w:rPr>
                <w:rFonts w:eastAsia="Times New Roman"/>
                <w:color w:val="FF0000"/>
                <w:sz w:val="19"/>
              </w:rPr>
              <w:t>11.9</w:t>
            </w:r>
          </w:p>
        </w:tc>
      </w:tr>
    </w:tbl>
    <w:p w14:paraId="25AE3470" w14:textId="77777777" w:rsidR="00EB7A45" w:rsidRDefault="00082F54">
      <w:pPr>
        <w:spacing w:before="100"/>
      </w:pPr>
      <w:r>
        <w:rPr>
          <w:rFonts w:eastAsia="Times New Roman"/>
          <w:b/>
          <w:color w:val="FF0000"/>
        </w:rPr>
        <w:t xml:space="preserve">Note: </w:t>
      </w:r>
      <w:r>
        <w:rPr>
          <w:rFonts w:eastAsia="Times New Roman"/>
          <w:color w:val="FF0000"/>
        </w:rPr>
        <w:t xml:space="preserve">Values are weighted means ± standard deviations or weighted percentages unless otherwise indicated. The common complete-case sample required all variables needed across Models 1-4 so that staged estimates could be compared in the same participants; </w:t>
      </w:r>
      <w:proofErr w:type="gramStart"/>
      <w:r>
        <w:rPr>
          <w:rFonts w:eastAsia="Times New Roman"/>
          <w:color w:val="FF0000"/>
        </w:rPr>
        <w:t>therefore</w:t>
      </w:r>
      <w:proofErr w:type="gramEnd"/>
      <w:r>
        <w:rPr>
          <w:rFonts w:eastAsia="Times New Roman"/>
          <w:color w:val="FF0000"/>
        </w:rPr>
        <w:t xml:space="preserve"> measured BMI was required for sample membership even though BMI was not included as a covariate in the primary Model 3. *BMI summary among excluded participants with available BMI.</w:t>
      </w:r>
    </w:p>
    <w:p w14:paraId="271E803C" w14:textId="77777777" w:rsidR="00EB7A45" w:rsidRDefault="00082F54">
      <w:pPr>
        <w:spacing w:before="100" w:after="160"/>
      </w:pPr>
      <w:r>
        <w:rPr>
          <w:rFonts w:eastAsia="Times New Roman"/>
          <w:color w:val="FF0000"/>
        </w:rPr>
        <w:t>Table S2. Extent of missingness in BMI and model covariates among otherwise eligible participants used to define the common complete-case sample.</w:t>
      </w:r>
    </w:p>
    <w:tbl>
      <w:tblPr>
        <w:tblStyle w:val="Tabellrutnt"/>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1709"/>
        <w:gridCol w:w="2837"/>
      </w:tblGrid>
      <w:tr w:rsidR="00EB7A45" w14:paraId="67F9C8EA" w14:textId="77777777">
        <w:trPr>
          <w:tblHeader/>
          <w:jc w:val="center"/>
        </w:trPr>
        <w:tc>
          <w:tcPr>
            <w:tcW w:w="4896" w:type="dxa"/>
            <w:tcBorders>
              <w:bottom w:val="single" w:sz="4" w:space="0" w:color="auto"/>
            </w:tcBorders>
            <w:vAlign w:val="center"/>
          </w:tcPr>
          <w:p w14:paraId="582A4594" w14:textId="77777777" w:rsidR="00EB7A45" w:rsidRDefault="00082F54">
            <w:pPr>
              <w:spacing w:after="0" w:line="240" w:lineRule="auto"/>
            </w:pPr>
            <w:r>
              <w:rPr>
                <w:rFonts w:eastAsia="Times New Roman"/>
                <w:b/>
                <w:color w:val="FF0000"/>
                <w:sz w:val="19"/>
              </w:rPr>
              <w:t>Variable</w:t>
            </w:r>
          </w:p>
        </w:tc>
        <w:tc>
          <w:tcPr>
            <w:tcW w:w="1728" w:type="dxa"/>
            <w:tcBorders>
              <w:bottom w:val="single" w:sz="4" w:space="0" w:color="auto"/>
            </w:tcBorders>
            <w:vAlign w:val="center"/>
          </w:tcPr>
          <w:p w14:paraId="68BC190D" w14:textId="77777777" w:rsidR="00EB7A45" w:rsidRDefault="00082F54">
            <w:pPr>
              <w:spacing w:after="0" w:line="240" w:lineRule="auto"/>
            </w:pPr>
            <w:r>
              <w:rPr>
                <w:rFonts w:eastAsia="Times New Roman"/>
                <w:b/>
                <w:color w:val="FF0000"/>
                <w:sz w:val="19"/>
              </w:rPr>
              <w:t>Missing n</w:t>
            </w:r>
          </w:p>
        </w:tc>
        <w:tc>
          <w:tcPr>
            <w:tcW w:w="2880" w:type="dxa"/>
            <w:tcBorders>
              <w:bottom w:val="single" w:sz="4" w:space="0" w:color="auto"/>
            </w:tcBorders>
            <w:vAlign w:val="center"/>
          </w:tcPr>
          <w:p w14:paraId="131A0335" w14:textId="77777777" w:rsidR="00EB7A45" w:rsidRDefault="00082F54">
            <w:pPr>
              <w:spacing w:after="0" w:line="240" w:lineRule="auto"/>
            </w:pPr>
            <w:r>
              <w:rPr>
                <w:rFonts w:eastAsia="Times New Roman"/>
                <w:b/>
                <w:color w:val="FF0000"/>
                <w:sz w:val="19"/>
              </w:rPr>
              <w:t>Missing %</w:t>
            </w:r>
          </w:p>
        </w:tc>
      </w:tr>
      <w:tr w:rsidR="00EB7A45" w14:paraId="6935C02D" w14:textId="77777777">
        <w:trPr>
          <w:jc w:val="center"/>
        </w:trPr>
        <w:tc>
          <w:tcPr>
            <w:tcW w:w="4896" w:type="dxa"/>
            <w:tcBorders>
              <w:top w:val="single" w:sz="4" w:space="0" w:color="auto"/>
            </w:tcBorders>
            <w:vAlign w:val="center"/>
          </w:tcPr>
          <w:p w14:paraId="749DAFD7" w14:textId="77777777" w:rsidR="00EB7A45" w:rsidRDefault="00082F54">
            <w:pPr>
              <w:spacing w:after="0" w:line="240" w:lineRule="auto"/>
            </w:pPr>
            <w:r>
              <w:rPr>
                <w:rFonts w:eastAsia="Times New Roman"/>
                <w:color w:val="FF0000"/>
                <w:sz w:val="19"/>
              </w:rPr>
              <w:t>BMI</w:t>
            </w:r>
          </w:p>
        </w:tc>
        <w:tc>
          <w:tcPr>
            <w:tcW w:w="1728" w:type="dxa"/>
            <w:tcBorders>
              <w:top w:val="single" w:sz="4" w:space="0" w:color="auto"/>
            </w:tcBorders>
            <w:vAlign w:val="center"/>
          </w:tcPr>
          <w:p w14:paraId="606FCE74" w14:textId="77777777" w:rsidR="00EB7A45" w:rsidRDefault="00082F54">
            <w:pPr>
              <w:spacing w:after="0" w:line="240" w:lineRule="auto"/>
            </w:pPr>
            <w:r>
              <w:rPr>
                <w:rFonts w:eastAsia="Times New Roman"/>
                <w:color w:val="FF0000"/>
                <w:sz w:val="19"/>
              </w:rPr>
              <w:t>91</w:t>
            </w:r>
          </w:p>
        </w:tc>
        <w:tc>
          <w:tcPr>
            <w:tcW w:w="2880" w:type="dxa"/>
            <w:tcBorders>
              <w:top w:val="single" w:sz="4" w:space="0" w:color="auto"/>
            </w:tcBorders>
            <w:vAlign w:val="center"/>
          </w:tcPr>
          <w:p w14:paraId="3C502204" w14:textId="77777777" w:rsidR="00EB7A45" w:rsidRDefault="00082F54">
            <w:pPr>
              <w:spacing w:after="0" w:line="240" w:lineRule="auto"/>
            </w:pPr>
            <w:r>
              <w:rPr>
                <w:rFonts w:eastAsia="Times New Roman"/>
                <w:color w:val="FF0000"/>
                <w:sz w:val="19"/>
              </w:rPr>
              <w:t>1.2% of 7,302</w:t>
            </w:r>
          </w:p>
        </w:tc>
      </w:tr>
      <w:tr w:rsidR="00EB7A45" w14:paraId="79C6DC5A" w14:textId="77777777">
        <w:trPr>
          <w:jc w:val="center"/>
        </w:trPr>
        <w:tc>
          <w:tcPr>
            <w:tcW w:w="4896" w:type="dxa"/>
            <w:vAlign w:val="center"/>
          </w:tcPr>
          <w:p w14:paraId="4E1A7E8D" w14:textId="77777777" w:rsidR="00EB7A45" w:rsidRDefault="00082F54">
            <w:pPr>
              <w:spacing w:after="0" w:line="240" w:lineRule="auto"/>
            </w:pPr>
            <w:r>
              <w:rPr>
                <w:rFonts w:eastAsia="Times New Roman"/>
                <w:color w:val="FF0000"/>
                <w:sz w:val="19"/>
              </w:rPr>
              <w:t>Family income-to-poverty ratio</w:t>
            </w:r>
          </w:p>
        </w:tc>
        <w:tc>
          <w:tcPr>
            <w:tcW w:w="1728" w:type="dxa"/>
            <w:vAlign w:val="center"/>
          </w:tcPr>
          <w:p w14:paraId="6975B8E4" w14:textId="77777777" w:rsidR="00EB7A45" w:rsidRDefault="00082F54">
            <w:pPr>
              <w:spacing w:after="0" w:line="240" w:lineRule="auto"/>
            </w:pPr>
            <w:r>
              <w:rPr>
                <w:rFonts w:eastAsia="Times New Roman"/>
                <w:color w:val="FF0000"/>
                <w:sz w:val="19"/>
              </w:rPr>
              <w:t>887</w:t>
            </w:r>
          </w:p>
        </w:tc>
        <w:tc>
          <w:tcPr>
            <w:tcW w:w="2880" w:type="dxa"/>
            <w:vAlign w:val="center"/>
          </w:tcPr>
          <w:p w14:paraId="64430294" w14:textId="77777777" w:rsidR="00EB7A45" w:rsidRDefault="00082F54">
            <w:pPr>
              <w:spacing w:after="0" w:line="240" w:lineRule="auto"/>
            </w:pPr>
            <w:r>
              <w:rPr>
                <w:rFonts w:eastAsia="Times New Roman"/>
                <w:color w:val="FF0000"/>
                <w:sz w:val="19"/>
              </w:rPr>
              <w:t>12.3% of 7,211</w:t>
            </w:r>
          </w:p>
        </w:tc>
      </w:tr>
      <w:tr w:rsidR="00EB7A45" w14:paraId="38F07C03" w14:textId="77777777">
        <w:trPr>
          <w:jc w:val="center"/>
        </w:trPr>
        <w:tc>
          <w:tcPr>
            <w:tcW w:w="4896" w:type="dxa"/>
            <w:vAlign w:val="center"/>
          </w:tcPr>
          <w:p w14:paraId="5D005ACF" w14:textId="77777777" w:rsidR="00EB7A45" w:rsidRDefault="00082F54">
            <w:pPr>
              <w:spacing w:after="0" w:line="240" w:lineRule="auto"/>
            </w:pPr>
            <w:r>
              <w:rPr>
                <w:rFonts w:eastAsia="Times New Roman"/>
                <w:color w:val="FF0000"/>
                <w:sz w:val="19"/>
              </w:rPr>
              <w:t>Physical activity</w:t>
            </w:r>
          </w:p>
        </w:tc>
        <w:tc>
          <w:tcPr>
            <w:tcW w:w="1728" w:type="dxa"/>
            <w:vAlign w:val="center"/>
          </w:tcPr>
          <w:p w14:paraId="71A8A99D" w14:textId="77777777" w:rsidR="00EB7A45" w:rsidRDefault="00082F54">
            <w:pPr>
              <w:spacing w:after="0" w:line="240" w:lineRule="auto"/>
            </w:pPr>
            <w:r>
              <w:rPr>
                <w:rFonts w:eastAsia="Times New Roman"/>
                <w:color w:val="FF0000"/>
                <w:sz w:val="19"/>
              </w:rPr>
              <w:t>153</w:t>
            </w:r>
          </w:p>
        </w:tc>
        <w:tc>
          <w:tcPr>
            <w:tcW w:w="2880" w:type="dxa"/>
            <w:vAlign w:val="center"/>
          </w:tcPr>
          <w:p w14:paraId="6E7FD3E2" w14:textId="77777777" w:rsidR="00EB7A45" w:rsidRDefault="00082F54">
            <w:pPr>
              <w:spacing w:after="0" w:line="240" w:lineRule="auto"/>
            </w:pPr>
            <w:r>
              <w:rPr>
                <w:rFonts w:eastAsia="Times New Roman"/>
                <w:color w:val="FF0000"/>
                <w:sz w:val="19"/>
              </w:rPr>
              <w:t>2.1% of 7,211</w:t>
            </w:r>
          </w:p>
        </w:tc>
      </w:tr>
      <w:tr w:rsidR="00EB7A45" w14:paraId="507D4391" w14:textId="77777777">
        <w:trPr>
          <w:jc w:val="center"/>
        </w:trPr>
        <w:tc>
          <w:tcPr>
            <w:tcW w:w="4896" w:type="dxa"/>
            <w:vAlign w:val="center"/>
          </w:tcPr>
          <w:p w14:paraId="7CD2631E" w14:textId="77777777" w:rsidR="00EB7A45" w:rsidRDefault="00082F54">
            <w:pPr>
              <w:spacing w:after="0" w:line="240" w:lineRule="auto"/>
            </w:pPr>
            <w:r>
              <w:rPr>
                <w:rFonts w:eastAsia="Times New Roman"/>
                <w:color w:val="FF0000"/>
                <w:sz w:val="19"/>
              </w:rPr>
              <w:t>Alcohol status</w:t>
            </w:r>
          </w:p>
        </w:tc>
        <w:tc>
          <w:tcPr>
            <w:tcW w:w="1728" w:type="dxa"/>
            <w:vAlign w:val="center"/>
          </w:tcPr>
          <w:p w14:paraId="2E31628C" w14:textId="77777777" w:rsidR="00EB7A45" w:rsidRDefault="00082F54">
            <w:pPr>
              <w:spacing w:after="0" w:line="240" w:lineRule="auto"/>
            </w:pPr>
            <w:r>
              <w:rPr>
                <w:rFonts w:eastAsia="Times New Roman"/>
                <w:color w:val="FF0000"/>
                <w:sz w:val="19"/>
              </w:rPr>
              <w:t>61</w:t>
            </w:r>
          </w:p>
        </w:tc>
        <w:tc>
          <w:tcPr>
            <w:tcW w:w="2880" w:type="dxa"/>
            <w:vAlign w:val="center"/>
          </w:tcPr>
          <w:p w14:paraId="379E5706" w14:textId="77777777" w:rsidR="00EB7A45" w:rsidRDefault="00082F54">
            <w:pPr>
              <w:spacing w:after="0" w:line="240" w:lineRule="auto"/>
            </w:pPr>
            <w:r>
              <w:rPr>
                <w:rFonts w:eastAsia="Times New Roman"/>
                <w:color w:val="FF0000"/>
                <w:sz w:val="19"/>
              </w:rPr>
              <w:t>0.8% of 7,211</w:t>
            </w:r>
          </w:p>
        </w:tc>
      </w:tr>
      <w:tr w:rsidR="00EB7A45" w14:paraId="06C34E4A" w14:textId="77777777">
        <w:trPr>
          <w:jc w:val="center"/>
        </w:trPr>
        <w:tc>
          <w:tcPr>
            <w:tcW w:w="4896" w:type="dxa"/>
            <w:vAlign w:val="center"/>
          </w:tcPr>
          <w:p w14:paraId="7095E8F7" w14:textId="77777777" w:rsidR="00EB7A45" w:rsidRDefault="00082F54">
            <w:pPr>
              <w:spacing w:after="0" w:line="240" w:lineRule="auto"/>
            </w:pPr>
            <w:r>
              <w:rPr>
                <w:rFonts w:eastAsia="Times New Roman"/>
                <w:color w:val="FF0000"/>
                <w:sz w:val="19"/>
              </w:rPr>
              <w:t>Smoking status</w:t>
            </w:r>
          </w:p>
        </w:tc>
        <w:tc>
          <w:tcPr>
            <w:tcW w:w="1728" w:type="dxa"/>
            <w:vAlign w:val="center"/>
          </w:tcPr>
          <w:p w14:paraId="42173D06" w14:textId="77777777" w:rsidR="00EB7A45" w:rsidRDefault="00082F54">
            <w:pPr>
              <w:spacing w:after="0" w:line="240" w:lineRule="auto"/>
            </w:pPr>
            <w:r>
              <w:rPr>
                <w:rFonts w:eastAsia="Times New Roman"/>
                <w:color w:val="FF0000"/>
                <w:sz w:val="19"/>
              </w:rPr>
              <w:t>20</w:t>
            </w:r>
          </w:p>
        </w:tc>
        <w:tc>
          <w:tcPr>
            <w:tcW w:w="2880" w:type="dxa"/>
            <w:vAlign w:val="center"/>
          </w:tcPr>
          <w:p w14:paraId="108CDB3C" w14:textId="77777777" w:rsidR="00EB7A45" w:rsidRDefault="00082F54">
            <w:pPr>
              <w:spacing w:after="0" w:line="240" w:lineRule="auto"/>
            </w:pPr>
            <w:r>
              <w:rPr>
                <w:rFonts w:eastAsia="Times New Roman"/>
                <w:color w:val="FF0000"/>
                <w:sz w:val="19"/>
              </w:rPr>
              <w:t>0.3% of 7,211</w:t>
            </w:r>
          </w:p>
        </w:tc>
      </w:tr>
      <w:tr w:rsidR="00EB7A45" w14:paraId="47D543D9" w14:textId="77777777">
        <w:trPr>
          <w:jc w:val="center"/>
        </w:trPr>
        <w:tc>
          <w:tcPr>
            <w:tcW w:w="4896" w:type="dxa"/>
            <w:vAlign w:val="center"/>
          </w:tcPr>
          <w:p w14:paraId="0D9F16EC" w14:textId="77777777" w:rsidR="00EB7A45" w:rsidRDefault="00082F54">
            <w:pPr>
              <w:spacing w:after="0" w:line="240" w:lineRule="auto"/>
            </w:pPr>
            <w:r>
              <w:rPr>
                <w:rFonts w:eastAsia="Times New Roman"/>
                <w:color w:val="FF0000"/>
                <w:sz w:val="19"/>
              </w:rPr>
              <w:t>Education</w:t>
            </w:r>
          </w:p>
        </w:tc>
        <w:tc>
          <w:tcPr>
            <w:tcW w:w="1728" w:type="dxa"/>
            <w:vAlign w:val="center"/>
          </w:tcPr>
          <w:p w14:paraId="2B3F0B64" w14:textId="77777777" w:rsidR="00EB7A45" w:rsidRDefault="00082F54">
            <w:pPr>
              <w:spacing w:after="0" w:line="240" w:lineRule="auto"/>
            </w:pPr>
            <w:r>
              <w:rPr>
                <w:rFonts w:eastAsia="Times New Roman"/>
                <w:color w:val="FF0000"/>
                <w:sz w:val="19"/>
              </w:rPr>
              <w:t>12</w:t>
            </w:r>
          </w:p>
        </w:tc>
        <w:tc>
          <w:tcPr>
            <w:tcW w:w="2880" w:type="dxa"/>
            <w:vAlign w:val="center"/>
          </w:tcPr>
          <w:p w14:paraId="2CA4C2E3" w14:textId="77777777" w:rsidR="00EB7A45" w:rsidRDefault="00082F54">
            <w:pPr>
              <w:spacing w:after="0" w:line="240" w:lineRule="auto"/>
            </w:pPr>
            <w:r>
              <w:rPr>
                <w:rFonts w:eastAsia="Times New Roman"/>
                <w:color w:val="FF0000"/>
                <w:sz w:val="19"/>
              </w:rPr>
              <w:t>0.2% of 7,211</w:t>
            </w:r>
          </w:p>
        </w:tc>
      </w:tr>
      <w:tr w:rsidR="00EB7A45" w14:paraId="0B431CA5" w14:textId="77777777">
        <w:trPr>
          <w:jc w:val="center"/>
        </w:trPr>
        <w:tc>
          <w:tcPr>
            <w:tcW w:w="4896" w:type="dxa"/>
            <w:vAlign w:val="center"/>
          </w:tcPr>
          <w:p w14:paraId="5B98BD50" w14:textId="77777777" w:rsidR="00EB7A45" w:rsidRDefault="00082F54">
            <w:pPr>
              <w:spacing w:after="0" w:line="240" w:lineRule="auto"/>
            </w:pPr>
            <w:r>
              <w:rPr>
                <w:rFonts w:eastAsia="Times New Roman"/>
                <w:color w:val="FF0000"/>
                <w:sz w:val="19"/>
              </w:rPr>
              <w:t>Other clinical covariates</w:t>
            </w:r>
          </w:p>
        </w:tc>
        <w:tc>
          <w:tcPr>
            <w:tcW w:w="1728" w:type="dxa"/>
            <w:vAlign w:val="center"/>
          </w:tcPr>
          <w:p w14:paraId="0DA38BF8" w14:textId="77777777" w:rsidR="00EB7A45" w:rsidRDefault="00082F54">
            <w:pPr>
              <w:spacing w:after="0" w:line="240" w:lineRule="auto"/>
            </w:pPr>
            <w:r>
              <w:rPr>
                <w:rFonts w:eastAsia="Times New Roman"/>
                <w:color w:val="FF0000"/>
                <w:sz w:val="19"/>
              </w:rPr>
              <w:t>&lt;20 each</w:t>
            </w:r>
          </w:p>
        </w:tc>
        <w:tc>
          <w:tcPr>
            <w:tcW w:w="2880" w:type="dxa"/>
            <w:vAlign w:val="center"/>
          </w:tcPr>
          <w:p w14:paraId="563D5DC4" w14:textId="77777777" w:rsidR="00EB7A45" w:rsidRDefault="00082F54">
            <w:pPr>
              <w:spacing w:after="0" w:line="240" w:lineRule="auto"/>
            </w:pPr>
            <w:r>
              <w:rPr>
                <w:rFonts w:eastAsia="Times New Roman"/>
                <w:color w:val="FF0000"/>
                <w:sz w:val="19"/>
              </w:rPr>
              <w:t>&lt;0.3% each of 7,211</w:t>
            </w:r>
          </w:p>
        </w:tc>
      </w:tr>
    </w:tbl>
    <w:p w14:paraId="28AEA3C2" w14:textId="77777777" w:rsidR="00EB7A45" w:rsidRDefault="00082F54">
      <w:pPr>
        <w:spacing w:before="100"/>
      </w:pPr>
      <w:r>
        <w:rPr>
          <w:rFonts w:eastAsia="Times New Roman"/>
          <w:b/>
          <w:color w:val="FF0000"/>
        </w:rPr>
        <w:t xml:space="preserve">Note: </w:t>
      </w:r>
      <w:r>
        <w:rPr>
          <w:rFonts w:eastAsia="Times New Roman"/>
          <w:color w:val="FF0000"/>
        </w:rPr>
        <w:t xml:space="preserve">Among 7,302 otherwise eligible adults, 91 had missing BMI and were excluded from the common complete-case sample solely to preserve the same participants across Models 1-4. The denominator for non-BMI covariates is the 7,211 otherwise eligible participants with measured </w:t>
      </w:r>
      <w:r>
        <w:rPr>
          <w:rFonts w:eastAsia="Times New Roman"/>
          <w:color w:val="FF0000"/>
        </w:rPr>
        <w:lastRenderedPageBreak/>
        <w:t>BMI. Missingness can overlap across covariates, so counts do not sum to the number excluded for missing covariate data.</w:t>
      </w:r>
    </w:p>
    <w:p w14:paraId="4ECD1DB2" w14:textId="77777777" w:rsidR="00EB7A45" w:rsidRDefault="00082F54">
      <w:pPr>
        <w:spacing w:before="100" w:after="160"/>
      </w:pPr>
      <w:r>
        <w:rPr>
          <w:rFonts w:eastAsia="Times New Roman"/>
          <w:color w:val="FF0000"/>
        </w:rPr>
        <w:t>Table S3. Separate Day-1 primary and two-day repeated-recall sensitivity analyses for current asthma.</w:t>
      </w:r>
    </w:p>
    <w:tbl>
      <w:tblPr>
        <w:tblStyle w:val="Tabellrutnt"/>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5"/>
        <w:gridCol w:w="2555"/>
        <w:gridCol w:w="2980"/>
      </w:tblGrid>
      <w:tr w:rsidR="00EB7A45" w14:paraId="3884A227" w14:textId="77777777">
        <w:trPr>
          <w:tblHeader/>
          <w:jc w:val="center"/>
        </w:trPr>
        <w:tc>
          <w:tcPr>
            <w:tcW w:w="3888" w:type="dxa"/>
            <w:tcBorders>
              <w:bottom w:val="single" w:sz="4" w:space="0" w:color="auto"/>
            </w:tcBorders>
            <w:vAlign w:val="center"/>
          </w:tcPr>
          <w:p w14:paraId="2DF915CC" w14:textId="77777777" w:rsidR="00EB7A45" w:rsidRDefault="00082F54">
            <w:pPr>
              <w:spacing w:after="0" w:line="240" w:lineRule="auto"/>
            </w:pPr>
            <w:r>
              <w:rPr>
                <w:rFonts w:eastAsia="Times New Roman"/>
                <w:b/>
                <w:color w:val="FF0000"/>
                <w:sz w:val="19"/>
              </w:rPr>
              <w:t>Measure</w:t>
            </w:r>
          </w:p>
        </w:tc>
        <w:tc>
          <w:tcPr>
            <w:tcW w:w="2592" w:type="dxa"/>
            <w:tcBorders>
              <w:bottom w:val="single" w:sz="4" w:space="0" w:color="auto"/>
            </w:tcBorders>
            <w:vAlign w:val="center"/>
          </w:tcPr>
          <w:p w14:paraId="47C60EAC" w14:textId="77777777" w:rsidR="00EB7A45" w:rsidRDefault="00082F54">
            <w:pPr>
              <w:spacing w:after="0" w:line="240" w:lineRule="auto"/>
            </w:pPr>
            <w:r>
              <w:rPr>
                <w:rFonts w:eastAsia="Times New Roman"/>
                <w:b/>
                <w:color w:val="FF0000"/>
                <w:sz w:val="19"/>
              </w:rPr>
              <w:t>Day-1 primary analysis</w:t>
            </w:r>
          </w:p>
        </w:tc>
        <w:tc>
          <w:tcPr>
            <w:tcW w:w="3024" w:type="dxa"/>
            <w:tcBorders>
              <w:bottom w:val="single" w:sz="4" w:space="0" w:color="auto"/>
            </w:tcBorders>
            <w:vAlign w:val="center"/>
          </w:tcPr>
          <w:p w14:paraId="142DB4FA" w14:textId="77777777" w:rsidR="00EB7A45" w:rsidRDefault="00082F54">
            <w:pPr>
              <w:spacing w:after="0" w:line="240" w:lineRule="auto"/>
            </w:pPr>
            <w:r>
              <w:rPr>
                <w:rFonts w:eastAsia="Times New Roman"/>
                <w:b/>
                <w:color w:val="FF0000"/>
                <w:sz w:val="19"/>
              </w:rPr>
              <w:t>Two-day mean sensitivity analysis</w:t>
            </w:r>
          </w:p>
        </w:tc>
      </w:tr>
      <w:tr w:rsidR="00EB7A45" w14:paraId="05CBFF88" w14:textId="77777777">
        <w:trPr>
          <w:jc w:val="center"/>
        </w:trPr>
        <w:tc>
          <w:tcPr>
            <w:tcW w:w="3888" w:type="dxa"/>
            <w:tcBorders>
              <w:top w:val="single" w:sz="4" w:space="0" w:color="auto"/>
            </w:tcBorders>
            <w:vAlign w:val="center"/>
          </w:tcPr>
          <w:p w14:paraId="534D8902" w14:textId="77777777" w:rsidR="00EB7A45" w:rsidRDefault="00082F54">
            <w:pPr>
              <w:spacing w:after="0" w:line="240" w:lineRule="auto"/>
            </w:pPr>
            <w:r>
              <w:rPr>
                <w:rFonts w:eastAsia="Times New Roman"/>
                <w:color w:val="FF0000"/>
                <w:sz w:val="19"/>
              </w:rPr>
              <w:t>N</w:t>
            </w:r>
          </w:p>
        </w:tc>
        <w:tc>
          <w:tcPr>
            <w:tcW w:w="2592" w:type="dxa"/>
            <w:tcBorders>
              <w:top w:val="single" w:sz="4" w:space="0" w:color="auto"/>
            </w:tcBorders>
            <w:vAlign w:val="center"/>
          </w:tcPr>
          <w:p w14:paraId="608DFF92" w14:textId="77777777" w:rsidR="00EB7A45" w:rsidRDefault="00082F54">
            <w:pPr>
              <w:spacing w:after="0" w:line="240" w:lineRule="auto"/>
            </w:pPr>
            <w:r>
              <w:rPr>
                <w:rFonts w:eastAsia="Times New Roman"/>
                <w:color w:val="FF0000"/>
                <w:sz w:val="19"/>
              </w:rPr>
              <w:t>6,145</w:t>
            </w:r>
          </w:p>
        </w:tc>
        <w:tc>
          <w:tcPr>
            <w:tcW w:w="3024" w:type="dxa"/>
            <w:tcBorders>
              <w:top w:val="single" w:sz="4" w:space="0" w:color="auto"/>
            </w:tcBorders>
            <w:vAlign w:val="center"/>
          </w:tcPr>
          <w:p w14:paraId="429268D1" w14:textId="77777777" w:rsidR="00EB7A45" w:rsidRDefault="00082F54">
            <w:pPr>
              <w:spacing w:after="0" w:line="240" w:lineRule="auto"/>
            </w:pPr>
            <w:r>
              <w:rPr>
                <w:rFonts w:eastAsia="Times New Roman"/>
                <w:color w:val="FF0000"/>
                <w:sz w:val="19"/>
              </w:rPr>
              <w:t>5,364</w:t>
            </w:r>
          </w:p>
        </w:tc>
      </w:tr>
      <w:tr w:rsidR="00EB7A45" w14:paraId="36140263" w14:textId="77777777">
        <w:trPr>
          <w:jc w:val="center"/>
        </w:trPr>
        <w:tc>
          <w:tcPr>
            <w:tcW w:w="3888" w:type="dxa"/>
            <w:vAlign w:val="center"/>
          </w:tcPr>
          <w:p w14:paraId="7E16C391" w14:textId="77777777" w:rsidR="00EB7A45" w:rsidRDefault="00082F54">
            <w:pPr>
              <w:spacing w:after="0" w:line="240" w:lineRule="auto"/>
            </w:pPr>
            <w:r>
              <w:rPr>
                <w:rFonts w:eastAsia="Times New Roman"/>
                <w:color w:val="FF0000"/>
                <w:sz w:val="19"/>
              </w:rPr>
              <w:t>Proportion of primary sample</w:t>
            </w:r>
          </w:p>
        </w:tc>
        <w:tc>
          <w:tcPr>
            <w:tcW w:w="2592" w:type="dxa"/>
            <w:vAlign w:val="center"/>
          </w:tcPr>
          <w:p w14:paraId="4A599699" w14:textId="77777777" w:rsidR="00EB7A45" w:rsidRDefault="00082F54">
            <w:pPr>
              <w:spacing w:after="0" w:line="240" w:lineRule="auto"/>
            </w:pPr>
            <w:r>
              <w:rPr>
                <w:rFonts w:eastAsia="Times New Roman"/>
                <w:color w:val="FF0000"/>
                <w:sz w:val="19"/>
              </w:rPr>
              <w:t>100%</w:t>
            </w:r>
          </w:p>
        </w:tc>
        <w:tc>
          <w:tcPr>
            <w:tcW w:w="3024" w:type="dxa"/>
            <w:vAlign w:val="center"/>
          </w:tcPr>
          <w:p w14:paraId="69F34E69" w14:textId="77777777" w:rsidR="00EB7A45" w:rsidRDefault="00082F54">
            <w:pPr>
              <w:spacing w:after="0" w:line="240" w:lineRule="auto"/>
            </w:pPr>
            <w:r>
              <w:rPr>
                <w:rFonts w:eastAsia="Times New Roman"/>
                <w:color w:val="FF0000"/>
                <w:sz w:val="19"/>
              </w:rPr>
              <w:t>87.3%</w:t>
            </w:r>
          </w:p>
        </w:tc>
      </w:tr>
      <w:tr w:rsidR="00EB7A45" w14:paraId="25E5E6C4" w14:textId="77777777">
        <w:trPr>
          <w:jc w:val="center"/>
        </w:trPr>
        <w:tc>
          <w:tcPr>
            <w:tcW w:w="3888" w:type="dxa"/>
            <w:vAlign w:val="center"/>
          </w:tcPr>
          <w:p w14:paraId="38AC6D8D" w14:textId="77777777" w:rsidR="00EB7A45" w:rsidRDefault="00082F54">
            <w:pPr>
              <w:spacing w:after="0" w:line="240" w:lineRule="auto"/>
            </w:pPr>
            <w:r>
              <w:rPr>
                <w:rFonts w:eastAsia="Times New Roman"/>
                <w:color w:val="FF0000"/>
                <w:sz w:val="19"/>
              </w:rPr>
              <w:t xml:space="preserve">Fiber </w:t>
            </w:r>
            <w:proofErr w:type="gramStart"/>
            <w:r>
              <w:rPr>
                <w:rFonts w:eastAsia="Times New Roman"/>
                <w:color w:val="FF0000"/>
                <w:sz w:val="19"/>
              </w:rPr>
              <w:t>mean</w:t>
            </w:r>
            <w:proofErr w:type="gramEnd"/>
            <w:r>
              <w:rPr>
                <w:rFonts w:eastAsia="Times New Roman"/>
                <w:color w:val="FF0000"/>
                <w:sz w:val="19"/>
              </w:rPr>
              <w:t>, g/day</w:t>
            </w:r>
          </w:p>
        </w:tc>
        <w:tc>
          <w:tcPr>
            <w:tcW w:w="2592" w:type="dxa"/>
            <w:vAlign w:val="center"/>
          </w:tcPr>
          <w:p w14:paraId="49F38F0B" w14:textId="77777777" w:rsidR="00EB7A45" w:rsidRDefault="00082F54">
            <w:pPr>
              <w:spacing w:after="0" w:line="240" w:lineRule="auto"/>
            </w:pPr>
            <w:r>
              <w:rPr>
                <w:rFonts w:eastAsia="Times New Roman"/>
                <w:color w:val="FF0000"/>
                <w:sz w:val="19"/>
              </w:rPr>
              <w:t>16.2 ± 9.8</w:t>
            </w:r>
          </w:p>
        </w:tc>
        <w:tc>
          <w:tcPr>
            <w:tcW w:w="3024" w:type="dxa"/>
            <w:vAlign w:val="center"/>
          </w:tcPr>
          <w:p w14:paraId="1FC36427" w14:textId="77777777" w:rsidR="00EB7A45" w:rsidRDefault="00082F54">
            <w:pPr>
              <w:spacing w:after="0" w:line="240" w:lineRule="auto"/>
            </w:pPr>
            <w:r>
              <w:rPr>
                <w:rFonts w:eastAsia="Times New Roman"/>
                <w:color w:val="FF0000"/>
                <w:sz w:val="19"/>
              </w:rPr>
              <w:t>16.4 ± 8.2</w:t>
            </w:r>
          </w:p>
        </w:tc>
      </w:tr>
      <w:tr w:rsidR="00EB7A45" w14:paraId="42CB3376" w14:textId="77777777">
        <w:trPr>
          <w:jc w:val="center"/>
        </w:trPr>
        <w:tc>
          <w:tcPr>
            <w:tcW w:w="3888" w:type="dxa"/>
            <w:vAlign w:val="center"/>
          </w:tcPr>
          <w:p w14:paraId="7FD2A253" w14:textId="77777777" w:rsidR="00EB7A45" w:rsidRDefault="00082F54">
            <w:pPr>
              <w:spacing w:after="0" w:line="240" w:lineRule="auto"/>
            </w:pPr>
            <w:r>
              <w:rPr>
                <w:rFonts w:eastAsia="Times New Roman"/>
                <w:color w:val="FF0000"/>
                <w:sz w:val="19"/>
              </w:rPr>
              <w:t>Median, g/day</w:t>
            </w:r>
          </w:p>
        </w:tc>
        <w:tc>
          <w:tcPr>
            <w:tcW w:w="2592" w:type="dxa"/>
            <w:vAlign w:val="center"/>
          </w:tcPr>
          <w:p w14:paraId="4EAA4209" w14:textId="77777777" w:rsidR="00EB7A45" w:rsidRDefault="00082F54">
            <w:pPr>
              <w:spacing w:after="0" w:line="240" w:lineRule="auto"/>
            </w:pPr>
            <w:r>
              <w:rPr>
                <w:rFonts w:eastAsia="Times New Roman"/>
                <w:color w:val="FF0000"/>
                <w:sz w:val="19"/>
              </w:rPr>
              <w:t>13.8</w:t>
            </w:r>
          </w:p>
        </w:tc>
        <w:tc>
          <w:tcPr>
            <w:tcW w:w="3024" w:type="dxa"/>
            <w:vAlign w:val="center"/>
          </w:tcPr>
          <w:p w14:paraId="74B44515" w14:textId="77777777" w:rsidR="00EB7A45" w:rsidRDefault="00082F54">
            <w:pPr>
              <w:spacing w:after="0" w:line="240" w:lineRule="auto"/>
            </w:pPr>
            <w:r>
              <w:rPr>
                <w:rFonts w:eastAsia="Times New Roman"/>
                <w:color w:val="FF0000"/>
                <w:sz w:val="19"/>
              </w:rPr>
              <w:t>14.2</w:t>
            </w:r>
          </w:p>
        </w:tc>
      </w:tr>
      <w:tr w:rsidR="00EB7A45" w14:paraId="04BE8A79" w14:textId="77777777">
        <w:trPr>
          <w:jc w:val="center"/>
        </w:trPr>
        <w:tc>
          <w:tcPr>
            <w:tcW w:w="3888" w:type="dxa"/>
            <w:vAlign w:val="center"/>
          </w:tcPr>
          <w:p w14:paraId="08820106" w14:textId="77777777" w:rsidR="00EB7A45" w:rsidRDefault="00082F54">
            <w:pPr>
              <w:spacing w:after="0" w:line="240" w:lineRule="auto"/>
            </w:pPr>
            <w:r>
              <w:rPr>
                <w:rFonts w:eastAsia="Times New Roman"/>
                <w:color w:val="FF0000"/>
                <w:sz w:val="19"/>
              </w:rPr>
              <w:t>Q1 cutoff, g/day</w:t>
            </w:r>
          </w:p>
        </w:tc>
        <w:tc>
          <w:tcPr>
            <w:tcW w:w="2592" w:type="dxa"/>
            <w:vAlign w:val="center"/>
          </w:tcPr>
          <w:p w14:paraId="7E6DFDC5" w14:textId="77777777" w:rsidR="00EB7A45" w:rsidRDefault="00082F54">
            <w:pPr>
              <w:spacing w:after="0" w:line="240" w:lineRule="auto"/>
            </w:pPr>
            <w:r>
              <w:rPr>
                <w:rFonts w:eastAsia="Times New Roman"/>
                <w:color w:val="FF0000"/>
                <w:sz w:val="19"/>
              </w:rPr>
              <w:t>8.9</w:t>
            </w:r>
          </w:p>
        </w:tc>
        <w:tc>
          <w:tcPr>
            <w:tcW w:w="3024" w:type="dxa"/>
            <w:vAlign w:val="center"/>
          </w:tcPr>
          <w:p w14:paraId="5CAD706A" w14:textId="77777777" w:rsidR="00EB7A45" w:rsidRDefault="00082F54">
            <w:pPr>
              <w:spacing w:after="0" w:line="240" w:lineRule="auto"/>
            </w:pPr>
            <w:r>
              <w:rPr>
                <w:rFonts w:eastAsia="Times New Roman"/>
                <w:color w:val="FF0000"/>
                <w:sz w:val="19"/>
              </w:rPr>
              <w:t>9.6</w:t>
            </w:r>
          </w:p>
        </w:tc>
      </w:tr>
      <w:tr w:rsidR="00EB7A45" w14:paraId="1594C4B2" w14:textId="77777777">
        <w:trPr>
          <w:jc w:val="center"/>
        </w:trPr>
        <w:tc>
          <w:tcPr>
            <w:tcW w:w="3888" w:type="dxa"/>
            <w:vAlign w:val="center"/>
          </w:tcPr>
          <w:p w14:paraId="1CD2F004" w14:textId="77777777" w:rsidR="00EB7A45" w:rsidRDefault="00082F54">
            <w:pPr>
              <w:spacing w:after="0" w:line="240" w:lineRule="auto"/>
            </w:pPr>
            <w:r>
              <w:rPr>
                <w:rFonts w:eastAsia="Times New Roman"/>
                <w:color w:val="FF0000"/>
                <w:sz w:val="19"/>
              </w:rPr>
              <w:t>Q2 cutoff, g/day</w:t>
            </w:r>
          </w:p>
        </w:tc>
        <w:tc>
          <w:tcPr>
            <w:tcW w:w="2592" w:type="dxa"/>
            <w:vAlign w:val="center"/>
          </w:tcPr>
          <w:p w14:paraId="634E9BCC" w14:textId="77777777" w:rsidR="00EB7A45" w:rsidRDefault="00082F54">
            <w:pPr>
              <w:spacing w:after="0" w:line="240" w:lineRule="auto"/>
            </w:pPr>
            <w:r>
              <w:rPr>
                <w:rFonts w:eastAsia="Times New Roman"/>
                <w:color w:val="FF0000"/>
                <w:sz w:val="19"/>
              </w:rPr>
              <w:t>13.8</w:t>
            </w:r>
          </w:p>
        </w:tc>
        <w:tc>
          <w:tcPr>
            <w:tcW w:w="3024" w:type="dxa"/>
            <w:vAlign w:val="center"/>
          </w:tcPr>
          <w:p w14:paraId="59BBD2D9" w14:textId="77777777" w:rsidR="00EB7A45" w:rsidRDefault="00082F54">
            <w:pPr>
              <w:spacing w:after="0" w:line="240" w:lineRule="auto"/>
            </w:pPr>
            <w:r>
              <w:rPr>
                <w:rFonts w:eastAsia="Times New Roman"/>
                <w:color w:val="FF0000"/>
                <w:sz w:val="19"/>
              </w:rPr>
              <w:t>14.2</w:t>
            </w:r>
          </w:p>
        </w:tc>
      </w:tr>
      <w:tr w:rsidR="00EB7A45" w14:paraId="4909DB20" w14:textId="77777777">
        <w:trPr>
          <w:jc w:val="center"/>
        </w:trPr>
        <w:tc>
          <w:tcPr>
            <w:tcW w:w="3888" w:type="dxa"/>
            <w:vAlign w:val="center"/>
          </w:tcPr>
          <w:p w14:paraId="074AAFCB" w14:textId="77777777" w:rsidR="00EB7A45" w:rsidRDefault="00082F54">
            <w:pPr>
              <w:spacing w:after="0" w:line="240" w:lineRule="auto"/>
            </w:pPr>
            <w:r>
              <w:rPr>
                <w:rFonts w:eastAsia="Times New Roman"/>
                <w:color w:val="FF0000"/>
                <w:sz w:val="19"/>
              </w:rPr>
              <w:t>Q3 cutoff, g/day</w:t>
            </w:r>
          </w:p>
        </w:tc>
        <w:tc>
          <w:tcPr>
            <w:tcW w:w="2592" w:type="dxa"/>
            <w:vAlign w:val="center"/>
          </w:tcPr>
          <w:p w14:paraId="5746AB07" w14:textId="77777777" w:rsidR="00EB7A45" w:rsidRDefault="00082F54">
            <w:pPr>
              <w:spacing w:after="0" w:line="240" w:lineRule="auto"/>
            </w:pPr>
            <w:r>
              <w:rPr>
                <w:rFonts w:eastAsia="Times New Roman"/>
                <w:color w:val="FF0000"/>
                <w:sz w:val="19"/>
              </w:rPr>
              <w:t>20.4</w:t>
            </w:r>
          </w:p>
        </w:tc>
        <w:tc>
          <w:tcPr>
            <w:tcW w:w="3024" w:type="dxa"/>
            <w:vAlign w:val="center"/>
          </w:tcPr>
          <w:p w14:paraId="4D1C12CB" w14:textId="77777777" w:rsidR="00EB7A45" w:rsidRDefault="00082F54">
            <w:pPr>
              <w:spacing w:after="0" w:line="240" w:lineRule="auto"/>
            </w:pPr>
            <w:r>
              <w:rPr>
                <w:rFonts w:eastAsia="Times New Roman"/>
                <w:color w:val="FF0000"/>
                <w:sz w:val="19"/>
              </w:rPr>
              <w:t>20.1</w:t>
            </w:r>
          </w:p>
        </w:tc>
      </w:tr>
      <w:tr w:rsidR="00EB7A45" w14:paraId="7E5DB0FB" w14:textId="77777777">
        <w:trPr>
          <w:jc w:val="center"/>
        </w:trPr>
        <w:tc>
          <w:tcPr>
            <w:tcW w:w="3888" w:type="dxa"/>
            <w:vAlign w:val="center"/>
          </w:tcPr>
          <w:p w14:paraId="1A282B40" w14:textId="77777777" w:rsidR="00EB7A45" w:rsidRDefault="00082F54">
            <w:pPr>
              <w:spacing w:after="0" w:line="240" w:lineRule="auto"/>
            </w:pPr>
            <w:r>
              <w:rPr>
                <w:rFonts w:eastAsia="Times New Roman"/>
                <w:color w:val="FF0000"/>
                <w:sz w:val="19"/>
              </w:rPr>
              <w:t>Day-1-Day-2 correlation</w:t>
            </w:r>
          </w:p>
        </w:tc>
        <w:tc>
          <w:tcPr>
            <w:tcW w:w="2592" w:type="dxa"/>
            <w:vAlign w:val="center"/>
          </w:tcPr>
          <w:p w14:paraId="120FFAD0" w14:textId="77777777" w:rsidR="00EB7A45" w:rsidRDefault="00082F54">
            <w:pPr>
              <w:spacing w:after="0" w:line="240" w:lineRule="auto"/>
            </w:pPr>
            <w:r>
              <w:rPr>
                <w:rFonts w:eastAsia="Times New Roman"/>
                <w:color w:val="FF0000"/>
                <w:sz w:val="19"/>
              </w:rPr>
              <w:t>—</w:t>
            </w:r>
          </w:p>
        </w:tc>
        <w:tc>
          <w:tcPr>
            <w:tcW w:w="3024" w:type="dxa"/>
            <w:vAlign w:val="center"/>
          </w:tcPr>
          <w:p w14:paraId="0A15B8C2" w14:textId="77777777" w:rsidR="00EB7A45" w:rsidRDefault="00082F54">
            <w:pPr>
              <w:spacing w:after="0" w:line="240" w:lineRule="auto"/>
            </w:pPr>
            <w:r>
              <w:rPr>
                <w:rFonts w:eastAsia="Times New Roman"/>
                <w:color w:val="FF0000"/>
                <w:sz w:val="19"/>
              </w:rPr>
              <w:t>r = 0.44</w:t>
            </w:r>
          </w:p>
        </w:tc>
      </w:tr>
      <w:tr w:rsidR="00EB7A45" w14:paraId="2167FE80" w14:textId="77777777">
        <w:trPr>
          <w:jc w:val="center"/>
        </w:trPr>
        <w:tc>
          <w:tcPr>
            <w:tcW w:w="3888" w:type="dxa"/>
            <w:vAlign w:val="center"/>
          </w:tcPr>
          <w:p w14:paraId="6B5B8A76" w14:textId="77777777" w:rsidR="00EB7A45" w:rsidRDefault="00082F54">
            <w:pPr>
              <w:spacing w:after="0" w:line="240" w:lineRule="auto"/>
            </w:pPr>
            <w:r>
              <w:rPr>
                <w:rFonts w:eastAsia="Times New Roman"/>
                <w:color w:val="FF0000"/>
                <w:sz w:val="19"/>
              </w:rPr>
              <w:t>OR per 1-SD</w:t>
            </w:r>
          </w:p>
        </w:tc>
        <w:tc>
          <w:tcPr>
            <w:tcW w:w="2592" w:type="dxa"/>
            <w:vAlign w:val="center"/>
          </w:tcPr>
          <w:p w14:paraId="31DBC5AE" w14:textId="77777777" w:rsidR="00EB7A45" w:rsidRDefault="00082F54">
            <w:pPr>
              <w:spacing w:after="0" w:line="240" w:lineRule="auto"/>
            </w:pPr>
            <w:r>
              <w:rPr>
                <w:rFonts w:eastAsia="Times New Roman"/>
                <w:color w:val="FF0000"/>
                <w:sz w:val="19"/>
              </w:rPr>
              <w:t>0.80</w:t>
            </w:r>
          </w:p>
        </w:tc>
        <w:tc>
          <w:tcPr>
            <w:tcW w:w="3024" w:type="dxa"/>
            <w:vAlign w:val="center"/>
          </w:tcPr>
          <w:p w14:paraId="573B84F1" w14:textId="77777777" w:rsidR="00EB7A45" w:rsidRDefault="00082F54">
            <w:pPr>
              <w:spacing w:after="0" w:line="240" w:lineRule="auto"/>
            </w:pPr>
            <w:r>
              <w:rPr>
                <w:rFonts w:eastAsia="Times New Roman"/>
                <w:color w:val="FF0000"/>
                <w:sz w:val="19"/>
              </w:rPr>
              <w:t>0.74</w:t>
            </w:r>
          </w:p>
        </w:tc>
      </w:tr>
      <w:tr w:rsidR="00EB7A45" w14:paraId="4E973E6F" w14:textId="77777777">
        <w:trPr>
          <w:jc w:val="center"/>
        </w:trPr>
        <w:tc>
          <w:tcPr>
            <w:tcW w:w="3888" w:type="dxa"/>
            <w:vAlign w:val="center"/>
          </w:tcPr>
          <w:p w14:paraId="2D9B2C06" w14:textId="77777777" w:rsidR="00EB7A45" w:rsidRDefault="00082F54">
            <w:pPr>
              <w:spacing w:after="0" w:line="240" w:lineRule="auto"/>
            </w:pPr>
            <w:r>
              <w:rPr>
                <w:rFonts w:eastAsia="Times New Roman"/>
                <w:color w:val="FF0000"/>
                <w:sz w:val="19"/>
              </w:rPr>
              <w:t>95% CI</w:t>
            </w:r>
          </w:p>
        </w:tc>
        <w:tc>
          <w:tcPr>
            <w:tcW w:w="2592" w:type="dxa"/>
            <w:vAlign w:val="center"/>
          </w:tcPr>
          <w:p w14:paraId="34F4AC82" w14:textId="77777777" w:rsidR="00EB7A45" w:rsidRDefault="00082F54">
            <w:pPr>
              <w:spacing w:after="0" w:line="240" w:lineRule="auto"/>
            </w:pPr>
            <w:r>
              <w:rPr>
                <w:rFonts w:eastAsia="Times New Roman"/>
                <w:color w:val="FF0000"/>
                <w:sz w:val="19"/>
              </w:rPr>
              <w:t>0.64-0.99</w:t>
            </w:r>
          </w:p>
        </w:tc>
        <w:tc>
          <w:tcPr>
            <w:tcW w:w="3024" w:type="dxa"/>
            <w:vAlign w:val="center"/>
          </w:tcPr>
          <w:p w14:paraId="298AD843" w14:textId="77777777" w:rsidR="00EB7A45" w:rsidRDefault="00082F54">
            <w:pPr>
              <w:spacing w:after="0" w:line="240" w:lineRule="auto"/>
            </w:pPr>
            <w:r>
              <w:rPr>
                <w:rFonts w:eastAsia="Times New Roman"/>
                <w:color w:val="FF0000"/>
                <w:sz w:val="19"/>
              </w:rPr>
              <w:t>0.61-0.90</w:t>
            </w:r>
          </w:p>
        </w:tc>
      </w:tr>
      <w:tr w:rsidR="00EB7A45" w14:paraId="554F14D6" w14:textId="77777777">
        <w:trPr>
          <w:jc w:val="center"/>
        </w:trPr>
        <w:tc>
          <w:tcPr>
            <w:tcW w:w="3888" w:type="dxa"/>
            <w:vAlign w:val="center"/>
          </w:tcPr>
          <w:p w14:paraId="1B42F5BA" w14:textId="77777777" w:rsidR="00EB7A45" w:rsidRDefault="00082F54">
            <w:pPr>
              <w:spacing w:after="0" w:line="240" w:lineRule="auto"/>
            </w:pPr>
            <w:r>
              <w:rPr>
                <w:rFonts w:eastAsia="Times New Roman"/>
                <w:color w:val="FF0000"/>
                <w:sz w:val="19"/>
              </w:rPr>
              <w:t>P value</w:t>
            </w:r>
          </w:p>
        </w:tc>
        <w:tc>
          <w:tcPr>
            <w:tcW w:w="2592" w:type="dxa"/>
            <w:vAlign w:val="center"/>
          </w:tcPr>
          <w:p w14:paraId="72D9AC65" w14:textId="77777777" w:rsidR="00EB7A45" w:rsidRDefault="00082F54">
            <w:pPr>
              <w:spacing w:after="0" w:line="240" w:lineRule="auto"/>
            </w:pPr>
            <w:r>
              <w:rPr>
                <w:rFonts w:eastAsia="Times New Roman"/>
                <w:color w:val="FF0000"/>
                <w:sz w:val="19"/>
              </w:rPr>
              <w:t>0.043</w:t>
            </w:r>
          </w:p>
        </w:tc>
        <w:tc>
          <w:tcPr>
            <w:tcW w:w="3024" w:type="dxa"/>
            <w:vAlign w:val="center"/>
          </w:tcPr>
          <w:p w14:paraId="23B79801" w14:textId="77777777" w:rsidR="00EB7A45" w:rsidRDefault="00082F54">
            <w:pPr>
              <w:spacing w:after="0" w:line="240" w:lineRule="auto"/>
            </w:pPr>
            <w:r>
              <w:rPr>
                <w:rFonts w:eastAsia="Times New Roman"/>
                <w:color w:val="FF0000"/>
                <w:sz w:val="19"/>
              </w:rPr>
              <w:t>0.004</w:t>
            </w:r>
          </w:p>
        </w:tc>
      </w:tr>
    </w:tbl>
    <w:p w14:paraId="55DF319A" w14:textId="77777777" w:rsidR="00EB7A45" w:rsidRDefault="00082F54">
      <w:pPr>
        <w:spacing w:before="100"/>
      </w:pPr>
      <w:r>
        <w:rPr>
          <w:rFonts w:eastAsia="Times New Roman"/>
          <w:b/>
          <w:color w:val="FF0000"/>
        </w:rPr>
        <w:t xml:space="preserve">Note: </w:t>
      </w:r>
      <w:r>
        <w:rPr>
          <w:rFonts w:eastAsia="Times New Roman"/>
          <w:color w:val="FF0000"/>
        </w:rPr>
        <w:t xml:space="preserve">The Day-1 analysis used </w:t>
      </w:r>
      <w:proofErr w:type="gramStart"/>
      <w:r>
        <w:rPr>
          <w:rFonts w:eastAsia="Times New Roman"/>
          <w:color w:val="FF0000"/>
        </w:rPr>
        <w:t>WTDRD1PP</w:t>
      </w:r>
      <w:proofErr w:type="gramEnd"/>
      <w:r>
        <w:rPr>
          <w:rFonts w:eastAsia="Times New Roman"/>
          <w:color w:val="FF0000"/>
        </w:rPr>
        <w:t xml:space="preserve"> and the two-day analysis used WTDR2DPP. These columns are separate analyses rather than a paired effect-size comparison: they differ in participant subset, dietary weight and exposure standard deviation (9.8 versus 8.2 g/day). Accordingly, the OR magnitudes should not be directly compared or interpreted as quantifying attenuation from random measurement error. Averaging two recalls can reduce the influence of day-to-day variation, but two recalls do not establish long-term u</w:t>
      </w:r>
      <w:r>
        <w:rPr>
          <w:rFonts w:eastAsia="Times New Roman"/>
          <w:color w:val="FF0000"/>
        </w:rPr>
        <w:t>sual intake.</w:t>
      </w:r>
    </w:p>
    <w:p w14:paraId="6E7ED54E" w14:textId="77777777" w:rsidR="00EB7A45" w:rsidRDefault="00082F54">
      <w:pPr>
        <w:spacing w:before="60" w:after="100"/>
      </w:pPr>
      <w:r>
        <w:rPr>
          <w:rFonts w:eastAsia="Times New Roman"/>
          <w:color w:val="FF0000"/>
        </w:rPr>
        <w:t>Table S4. Two-</w:t>
      </w:r>
      <w:proofErr w:type="gramStart"/>
      <w:r>
        <w:rPr>
          <w:rFonts w:eastAsia="Times New Roman"/>
          <w:color w:val="FF0000"/>
        </w:rPr>
        <w:t>day</w:t>
      </w:r>
      <w:proofErr w:type="gramEnd"/>
      <w:r>
        <w:rPr>
          <w:rFonts w:eastAsia="Times New Roman"/>
          <w:color w:val="FF0000"/>
        </w:rPr>
        <w:t xml:space="preserve"> mean fiber quartiles and current asthma</w:t>
      </w:r>
    </w:p>
    <w:tbl>
      <w:tblPr>
        <w:tblStyle w:val="Tabellrutnt"/>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3456"/>
        <w:gridCol w:w="1728"/>
      </w:tblGrid>
      <w:tr w:rsidR="00EB7A45" w14:paraId="12FB7C93" w14:textId="77777777">
        <w:trPr>
          <w:tblHeader/>
          <w:jc w:val="center"/>
        </w:trPr>
        <w:tc>
          <w:tcPr>
            <w:tcW w:w="3888" w:type="dxa"/>
            <w:tcBorders>
              <w:bottom w:val="single" w:sz="4" w:space="0" w:color="auto"/>
            </w:tcBorders>
            <w:vAlign w:val="center"/>
          </w:tcPr>
          <w:p w14:paraId="12CA14EA" w14:textId="77777777" w:rsidR="00EB7A45" w:rsidRDefault="00082F54">
            <w:pPr>
              <w:spacing w:after="0" w:line="240" w:lineRule="auto"/>
            </w:pPr>
            <w:r>
              <w:rPr>
                <w:rFonts w:eastAsia="Times New Roman"/>
                <w:b/>
                <w:color w:val="FF0000"/>
                <w:sz w:val="19"/>
              </w:rPr>
              <w:t>Two-day mean fiber</w:t>
            </w:r>
          </w:p>
        </w:tc>
        <w:tc>
          <w:tcPr>
            <w:tcW w:w="3456" w:type="dxa"/>
            <w:tcBorders>
              <w:bottom w:val="single" w:sz="4" w:space="0" w:color="auto"/>
            </w:tcBorders>
            <w:vAlign w:val="center"/>
          </w:tcPr>
          <w:p w14:paraId="6D9106FC" w14:textId="77777777" w:rsidR="00EB7A45" w:rsidRDefault="00082F54">
            <w:pPr>
              <w:spacing w:after="0" w:line="240" w:lineRule="auto"/>
            </w:pPr>
            <w:r>
              <w:rPr>
                <w:rFonts w:eastAsia="Times New Roman"/>
                <w:b/>
                <w:color w:val="FF0000"/>
                <w:sz w:val="19"/>
              </w:rPr>
              <w:t>OR (95% CI)</w:t>
            </w:r>
          </w:p>
        </w:tc>
        <w:tc>
          <w:tcPr>
            <w:tcW w:w="1728" w:type="dxa"/>
            <w:tcBorders>
              <w:bottom w:val="single" w:sz="4" w:space="0" w:color="auto"/>
            </w:tcBorders>
            <w:vAlign w:val="center"/>
          </w:tcPr>
          <w:p w14:paraId="6FC5D14D" w14:textId="77777777" w:rsidR="00EB7A45" w:rsidRDefault="00082F54">
            <w:pPr>
              <w:spacing w:after="0" w:line="240" w:lineRule="auto"/>
            </w:pPr>
            <w:r>
              <w:rPr>
                <w:rFonts w:eastAsia="Times New Roman"/>
                <w:b/>
                <w:color w:val="FF0000"/>
                <w:sz w:val="19"/>
              </w:rPr>
              <w:t>P value</w:t>
            </w:r>
          </w:p>
        </w:tc>
      </w:tr>
      <w:tr w:rsidR="00EB7A45" w14:paraId="613C9834" w14:textId="77777777">
        <w:trPr>
          <w:jc w:val="center"/>
        </w:trPr>
        <w:tc>
          <w:tcPr>
            <w:tcW w:w="3888" w:type="dxa"/>
            <w:tcBorders>
              <w:top w:val="single" w:sz="4" w:space="0" w:color="auto"/>
            </w:tcBorders>
            <w:vAlign w:val="center"/>
          </w:tcPr>
          <w:p w14:paraId="54E6C1C8" w14:textId="77777777" w:rsidR="00EB7A45" w:rsidRDefault="00082F54">
            <w:pPr>
              <w:spacing w:after="0" w:line="240" w:lineRule="auto"/>
            </w:pPr>
            <w:r>
              <w:rPr>
                <w:rFonts w:eastAsia="Times New Roman"/>
                <w:color w:val="FF0000"/>
                <w:sz w:val="19"/>
              </w:rPr>
              <w:t>Q1</w:t>
            </w:r>
          </w:p>
        </w:tc>
        <w:tc>
          <w:tcPr>
            <w:tcW w:w="3456" w:type="dxa"/>
            <w:tcBorders>
              <w:top w:val="single" w:sz="4" w:space="0" w:color="auto"/>
            </w:tcBorders>
            <w:vAlign w:val="center"/>
          </w:tcPr>
          <w:p w14:paraId="33A50035" w14:textId="77777777" w:rsidR="00EB7A45" w:rsidRDefault="00082F54">
            <w:pPr>
              <w:spacing w:after="0" w:line="240" w:lineRule="auto"/>
            </w:pPr>
            <w:r>
              <w:rPr>
                <w:rFonts w:eastAsia="Times New Roman"/>
                <w:color w:val="FF0000"/>
                <w:sz w:val="19"/>
              </w:rPr>
              <w:t>1.00 (reference)</w:t>
            </w:r>
          </w:p>
        </w:tc>
        <w:tc>
          <w:tcPr>
            <w:tcW w:w="1728" w:type="dxa"/>
            <w:tcBorders>
              <w:top w:val="single" w:sz="4" w:space="0" w:color="auto"/>
            </w:tcBorders>
            <w:vAlign w:val="center"/>
          </w:tcPr>
          <w:p w14:paraId="5C05AFF8" w14:textId="77777777" w:rsidR="00EB7A45" w:rsidRDefault="00082F54">
            <w:pPr>
              <w:spacing w:after="0" w:line="240" w:lineRule="auto"/>
            </w:pPr>
            <w:r>
              <w:rPr>
                <w:rFonts w:eastAsia="Times New Roman"/>
                <w:color w:val="FF0000"/>
                <w:sz w:val="19"/>
              </w:rPr>
              <w:t>—</w:t>
            </w:r>
          </w:p>
        </w:tc>
      </w:tr>
      <w:tr w:rsidR="00EB7A45" w14:paraId="1199BDD6" w14:textId="77777777">
        <w:trPr>
          <w:jc w:val="center"/>
        </w:trPr>
        <w:tc>
          <w:tcPr>
            <w:tcW w:w="3888" w:type="dxa"/>
            <w:vAlign w:val="center"/>
          </w:tcPr>
          <w:p w14:paraId="6CA7FE4C" w14:textId="77777777" w:rsidR="00EB7A45" w:rsidRDefault="00082F54">
            <w:pPr>
              <w:spacing w:after="0" w:line="240" w:lineRule="auto"/>
            </w:pPr>
            <w:r>
              <w:rPr>
                <w:rFonts w:eastAsia="Times New Roman"/>
                <w:color w:val="FF0000"/>
                <w:sz w:val="19"/>
              </w:rPr>
              <w:t>Q2</w:t>
            </w:r>
          </w:p>
        </w:tc>
        <w:tc>
          <w:tcPr>
            <w:tcW w:w="3456" w:type="dxa"/>
            <w:vAlign w:val="center"/>
          </w:tcPr>
          <w:p w14:paraId="03D389AC" w14:textId="77777777" w:rsidR="00EB7A45" w:rsidRDefault="00082F54">
            <w:pPr>
              <w:spacing w:after="0" w:line="240" w:lineRule="auto"/>
            </w:pPr>
            <w:r>
              <w:rPr>
                <w:rFonts w:eastAsia="Times New Roman"/>
                <w:color w:val="FF0000"/>
                <w:sz w:val="19"/>
              </w:rPr>
              <w:t>0.79 (0.52-1.20)</w:t>
            </w:r>
          </w:p>
        </w:tc>
        <w:tc>
          <w:tcPr>
            <w:tcW w:w="1728" w:type="dxa"/>
            <w:vAlign w:val="center"/>
          </w:tcPr>
          <w:p w14:paraId="655539DD" w14:textId="77777777" w:rsidR="00EB7A45" w:rsidRDefault="00082F54">
            <w:pPr>
              <w:spacing w:after="0" w:line="240" w:lineRule="auto"/>
            </w:pPr>
            <w:r>
              <w:rPr>
                <w:rFonts w:eastAsia="Times New Roman"/>
                <w:color w:val="FF0000"/>
                <w:sz w:val="19"/>
              </w:rPr>
              <w:t>0.26</w:t>
            </w:r>
          </w:p>
        </w:tc>
      </w:tr>
      <w:tr w:rsidR="00EB7A45" w14:paraId="4D8E212F" w14:textId="77777777">
        <w:trPr>
          <w:jc w:val="center"/>
        </w:trPr>
        <w:tc>
          <w:tcPr>
            <w:tcW w:w="3888" w:type="dxa"/>
            <w:vAlign w:val="center"/>
          </w:tcPr>
          <w:p w14:paraId="52147975" w14:textId="77777777" w:rsidR="00EB7A45" w:rsidRDefault="00082F54">
            <w:pPr>
              <w:spacing w:after="0" w:line="240" w:lineRule="auto"/>
            </w:pPr>
            <w:r>
              <w:rPr>
                <w:rFonts w:eastAsia="Times New Roman"/>
                <w:color w:val="FF0000"/>
                <w:sz w:val="19"/>
              </w:rPr>
              <w:t>Q3</w:t>
            </w:r>
          </w:p>
        </w:tc>
        <w:tc>
          <w:tcPr>
            <w:tcW w:w="3456" w:type="dxa"/>
            <w:vAlign w:val="center"/>
          </w:tcPr>
          <w:p w14:paraId="7684589D" w14:textId="77777777" w:rsidR="00EB7A45" w:rsidRDefault="00082F54">
            <w:pPr>
              <w:spacing w:after="0" w:line="240" w:lineRule="auto"/>
            </w:pPr>
            <w:r>
              <w:rPr>
                <w:rFonts w:eastAsia="Times New Roman"/>
                <w:color w:val="FF0000"/>
                <w:sz w:val="19"/>
              </w:rPr>
              <w:t>0.68 (0.45-1.02)</w:t>
            </w:r>
          </w:p>
        </w:tc>
        <w:tc>
          <w:tcPr>
            <w:tcW w:w="1728" w:type="dxa"/>
            <w:vAlign w:val="center"/>
          </w:tcPr>
          <w:p w14:paraId="4E487A71" w14:textId="77777777" w:rsidR="00EB7A45" w:rsidRDefault="00082F54">
            <w:pPr>
              <w:spacing w:after="0" w:line="240" w:lineRule="auto"/>
            </w:pPr>
            <w:r>
              <w:rPr>
                <w:rFonts w:eastAsia="Times New Roman"/>
                <w:color w:val="FF0000"/>
                <w:sz w:val="19"/>
              </w:rPr>
              <w:t>0.063</w:t>
            </w:r>
          </w:p>
        </w:tc>
      </w:tr>
      <w:tr w:rsidR="00EB7A45" w14:paraId="7970A9D5" w14:textId="77777777">
        <w:trPr>
          <w:jc w:val="center"/>
        </w:trPr>
        <w:tc>
          <w:tcPr>
            <w:tcW w:w="3888" w:type="dxa"/>
            <w:vAlign w:val="center"/>
          </w:tcPr>
          <w:p w14:paraId="609BE3A3" w14:textId="77777777" w:rsidR="00EB7A45" w:rsidRDefault="00082F54">
            <w:pPr>
              <w:spacing w:after="0" w:line="240" w:lineRule="auto"/>
            </w:pPr>
            <w:r>
              <w:rPr>
                <w:rFonts w:eastAsia="Times New Roman"/>
                <w:color w:val="FF0000"/>
                <w:sz w:val="19"/>
              </w:rPr>
              <w:t>Q4</w:t>
            </w:r>
          </w:p>
        </w:tc>
        <w:tc>
          <w:tcPr>
            <w:tcW w:w="3456" w:type="dxa"/>
            <w:vAlign w:val="center"/>
          </w:tcPr>
          <w:p w14:paraId="5778BCB4" w14:textId="77777777" w:rsidR="00EB7A45" w:rsidRDefault="00082F54">
            <w:pPr>
              <w:spacing w:after="0" w:line="240" w:lineRule="auto"/>
            </w:pPr>
            <w:r>
              <w:rPr>
                <w:rFonts w:eastAsia="Times New Roman"/>
                <w:color w:val="FF0000"/>
                <w:sz w:val="19"/>
              </w:rPr>
              <w:t>0.57 (0.36-0.90)</w:t>
            </w:r>
          </w:p>
        </w:tc>
        <w:tc>
          <w:tcPr>
            <w:tcW w:w="1728" w:type="dxa"/>
            <w:vAlign w:val="center"/>
          </w:tcPr>
          <w:p w14:paraId="4DEC3316" w14:textId="77777777" w:rsidR="00EB7A45" w:rsidRDefault="00082F54">
            <w:pPr>
              <w:spacing w:after="0" w:line="240" w:lineRule="auto"/>
            </w:pPr>
            <w:r>
              <w:rPr>
                <w:rFonts w:eastAsia="Times New Roman"/>
                <w:color w:val="FF0000"/>
                <w:sz w:val="19"/>
              </w:rPr>
              <w:t>0.017</w:t>
            </w:r>
          </w:p>
        </w:tc>
      </w:tr>
      <w:tr w:rsidR="00EB7A45" w14:paraId="6B69287B" w14:textId="77777777">
        <w:trPr>
          <w:jc w:val="center"/>
        </w:trPr>
        <w:tc>
          <w:tcPr>
            <w:tcW w:w="3888" w:type="dxa"/>
            <w:vAlign w:val="center"/>
          </w:tcPr>
          <w:p w14:paraId="72303E39" w14:textId="77777777" w:rsidR="00EB7A45" w:rsidRDefault="00082F54">
            <w:pPr>
              <w:spacing w:after="0" w:line="240" w:lineRule="auto"/>
            </w:pPr>
            <w:r>
              <w:rPr>
                <w:rFonts w:eastAsia="Times New Roman"/>
                <w:color w:val="FF0000"/>
                <w:sz w:val="19"/>
              </w:rPr>
              <w:t>P for trend</w:t>
            </w:r>
          </w:p>
        </w:tc>
        <w:tc>
          <w:tcPr>
            <w:tcW w:w="3456" w:type="dxa"/>
            <w:vAlign w:val="center"/>
          </w:tcPr>
          <w:p w14:paraId="3FCFF5A3" w14:textId="77777777" w:rsidR="00EB7A45" w:rsidRDefault="00082F54">
            <w:pPr>
              <w:spacing w:after="0" w:line="240" w:lineRule="auto"/>
            </w:pPr>
            <w:r>
              <w:rPr>
                <w:rFonts w:eastAsia="Times New Roman"/>
                <w:color w:val="FF0000"/>
                <w:sz w:val="19"/>
              </w:rPr>
              <w:t>—</w:t>
            </w:r>
          </w:p>
        </w:tc>
        <w:tc>
          <w:tcPr>
            <w:tcW w:w="1728" w:type="dxa"/>
            <w:vAlign w:val="center"/>
          </w:tcPr>
          <w:p w14:paraId="280F3B78" w14:textId="77777777" w:rsidR="00EB7A45" w:rsidRDefault="00082F54">
            <w:pPr>
              <w:spacing w:after="0" w:line="240" w:lineRule="auto"/>
            </w:pPr>
            <w:r>
              <w:rPr>
                <w:rFonts w:eastAsia="Times New Roman"/>
                <w:color w:val="FF0000"/>
                <w:sz w:val="19"/>
              </w:rPr>
              <w:t>0.019</w:t>
            </w:r>
          </w:p>
        </w:tc>
      </w:tr>
    </w:tbl>
    <w:p w14:paraId="3C42F83C" w14:textId="77777777" w:rsidR="00EB7A45" w:rsidRDefault="00082F54">
      <w:pPr>
        <w:spacing w:before="100" w:after="160"/>
      </w:pPr>
      <w:r>
        <w:rPr>
          <w:color w:val="FF0000"/>
        </w:rPr>
        <w:t>Table S5. Sensitivity analyses for the association between dietary fiber and current asthma.</w:t>
      </w:r>
    </w:p>
    <w:tbl>
      <w:tblPr>
        <w:tblStyle w:val="Tabellrutnt"/>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9"/>
        <w:gridCol w:w="935"/>
        <w:gridCol w:w="1419"/>
        <w:gridCol w:w="1388"/>
        <w:gridCol w:w="936"/>
        <w:gridCol w:w="2173"/>
      </w:tblGrid>
      <w:tr w:rsidR="00EB7A45" w14:paraId="0799B401" w14:textId="77777777">
        <w:trPr>
          <w:cantSplit/>
          <w:tblHeader/>
          <w:jc w:val="center"/>
        </w:trPr>
        <w:tc>
          <w:tcPr>
            <w:tcW w:w="2880" w:type="dxa"/>
            <w:tcBorders>
              <w:bottom w:val="single" w:sz="4" w:space="0" w:color="auto"/>
            </w:tcBorders>
            <w:vAlign w:val="center"/>
          </w:tcPr>
          <w:p w14:paraId="7039F1E2" w14:textId="77777777" w:rsidR="00EB7A45" w:rsidRDefault="00082F54">
            <w:pPr>
              <w:spacing w:after="0" w:line="240" w:lineRule="auto"/>
            </w:pPr>
            <w:r>
              <w:rPr>
                <w:rFonts w:eastAsia="Times New Roman"/>
                <w:b/>
                <w:color w:val="FF0000"/>
                <w:sz w:val="19"/>
              </w:rPr>
              <w:t>Analysis</w:t>
            </w:r>
          </w:p>
        </w:tc>
        <w:tc>
          <w:tcPr>
            <w:tcW w:w="1008" w:type="dxa"/>
            <w:tcBorders>
              <w:bottom w:val="single" w:sz="4" w:space="0" w:color="auto"/>
            </w:tcBorders>
            <w:vAlign w:val="center"/>
          </w:tcPr>
          <w:p w14:paraId="7A014E01" w14:textId="77777777" w:rsidR="00EB7A45" w:rsidRDefault="00082F54">
            <w:pPr>
              <w:spacing w:after="0" w:line="240" w:lineRule="auto"/>
            </w:pPr>
            <w:r>
              <w:rPr>
                <w:rFonts w:eastAsia="Times New Roman"/>
                <w:b/>
                <w:color w:val="FF0000"/>
                <w:sz w:val="19"/>
              </w:rPr>
              <w:t>N</w:t>
            </w:r>
          </w:p>
        </w:tc>
        <w:tc>
          <w:tcPr>
            <w:tcW w:w="1584" w:type="dxa"/>
            <w:tcBorders>
              <w:bottom w:val="single" w:sz="4" w:space="0" w:color="auto"/>
            </w:tcBorders>
            <w:vAlign w:val="center"/>
          </w:tcPr>
          <w:p w14:paraId="1F1A7394" w14:textId="77777777" w:rsidR="00EB7A45" w:rsidRDefault="00082F54">
            <w:pPr>
              <w:spacing w:after="0" w:line="240" w:lineRule="auto"/>
            </w:pPr>
            <w:r>
              <w:rPr>
                <w:b/>
                <w:color w:val="FF0000"/>
              </w:rPr>
              <w:t>Odds ratio</w:t>
            </w:r>
          </w:p>
        </w:tc>
        <w:tc>
          <w:tcPr>
            <w:tcW w:w="1584" w:type="dxa"/>
            <w:tcBorders>
              <w:bottom w:val="single" w:sz="4" w:space="0" w:color="auto"/>
            </w:tcBorders>
            <w:vAlign w:val="center"/>
          </w:tcPr>
          <w:p w14:paraId="54D0A7F1" w14:textId="77777777" w:rsidR="00EB7A45" w:rsidRDefault="00082F54">
            <w:pPr>
              <w:spacing w:after="0" w:line="240" w:lineRule="auto"/>
            </w:pPr>
            <w:r>
              <w:rPr>
                <w:rFonts w:eastAsia="Times New Roman"/>
                <w:b/>
                <w:color w:val="FF0000"/>
                <w:sz w:val="19"/>
              </w:rPr>
              <w:t>95% CI</w:t>
            </w:r>
          </w:p>
        </w:tc>
        <w:tc>
          <w:tcPr>
            <w:tcW w:w="1008" w:type="dxa"/>
            <w:tcBorders>
              <w:bottom w:val="single" w:sz="4" w:space="0" w:color="auto"/>
            </w:tcBorders>
            <w:vAlign w:val="center"/>
          </w:tcPr>
          <w:p w14:paraId="63C7A4B6" w14:textId="77777777" w:rsidR="00EB7A45" w:rsidRDefault="00082F54">
            <w:pPr>
              <w:spacing w:after="0" w:line="240" w:lineRule="auto"/>
            </w:pPr>
            <w:r>
              <w:rPr>
                <w:rFonts w:eastAsia="Times New Roman"/>
                <w:b/>
                <w:color w:val="FF0000"/>
                <w:sz w:val="19"/>
              </w:rPr>
              <w:t>P value</w:t>
            </w:r>
          </w:p>
        </w:tc>
        <w:tc>
          <w:tcPr>
            <w:tcW w:w="2448" w:type="dxa"/>
            <w:tcBorders>
              <w:bottom w:val="single" w:sz="4" w:space="0" w:color="auto"/>
            </w:tcBorders>
            <w:vAlign w:val="center"/>
          </w:tcPr>
          <w:p w14:paraId="7D06C3FD" w14:textId="77777777" w:rsidR="00EB7A45" w:rsidRDefault="00082F54">
            <w:pPr>
              <w:spacing w:after="0" w:line="240" w:lineRule="auto"/>
            </w:pPr>
            <w:r>
              <w:rPr>
                <w:rFonts w:eastAsia="Times New Roman"/>
                <w:b/>
                <w:color w:val="FF0000"/>
                <w:sz w:val="19"/>
              </w:rPr>
              <w:t>Additional result</w:t>
            </w:r>
          </w:p>
        </w:tc>
      </w:tr>
      <w:tr w:rsidR="00EB7A45" w14:paraId="4FEDC264" w14:textId="77777777">
        <w:trPr>
          <w:cantSplit/>
          <w:jc w:val="center"/>
        </w:trPr>
        <w:tc>
          <w:tcPr>
            <w:tcW w:w="2880" w:type="dxa"/>
            <w:tcBorders>
              <w:top w:val="single" w:sz="4" w:space="0" w:color="auto"/>
            </w:tcBorders>
            <w:vAlign w:val="center"/>
          </w:tcPr>
          <w:p w14:paraId="2E9B3DD7" w14:textId="77777777" w:rsidR="00EB7A45" w:rsidRDefault="00082F54">
            <w:pPr>
              <w:spacing w:after="0" w:line="240" w:lineRule="auto"/>
              <w:rPr>
                <w:rFonts w:eastAsia="Times New Roman"/>
                <w:color w:val="FF0000"/>
                <w:sz w:val="19"/>
              </w:rPr>
            </w:pPr>
            <w:r>
              <w:rPr>
                <w:rFonts w:eastAsia="Times New Roman"/>
                <w:color w:val="FF0000"/>
                <w:sz w:val="19"/>
              </w:rPr>
              <w:t>Fiber-density Model 3 (per 1-SD density)</w:t>
            </w:r>
          </w:p>
        </w:tc>
        <w:tc>
          <w:tcPr>
            <w:tcW w:w="1008" w:type="dxa"/>
            <w:tcBorders>
              <w:top w:val="single" w:sz="4" w:space="0" w:color="auto"/>
            </w:tcBorders>
            <w:vAlign w:val="center"/>
          </w:tcPr>
          <w:p w14:paraId="14A032C8" w14:textId="77777777" w:rsidR="00EB7A45" w:rsidRDefault="00082F54">
            <w:pPr>
              <w:spacing w:after="0" w:line="240" w:lineRule="auto"/>
              <w:rPr>
                <w:rFonts w:eastAsia="Times New Roman"/>
                <w:color w:val="FF0000"/>
                <w:sz w:val="19"/>
              </w:rPr>
            </w:pPr>
            <w:r>
              <w:rPr>
                <w:rFonts w:eastAsia="Times New Roman"/>
                <w:color w:val="FF0000"/>
                <w:sz w:val="19"/>
              </w:rPr>
              <w:t>6,145</w:t>
            </w:r>
          </w:p>
        </w:tc>
        <w:tc>
          <w:tcPr>
            <w:tcW w:w="1584" w:type="dxa"/>
            <w:tcBorders>
              <w:top w:val="single" w:sz="4" w:space="0" w:color="auto"/>
            </w:tcBorders>
            <w:vAlign w:val="center"/>
          </w:tcPr>
          <w:p w14:paraId="60C8D5AE" w14:textId="77777777" w:rsidR="00EB7A45" w:rsidRDefault="00082F54">
            <w:pPr>
              <w:spacing w:after="0" w:line="240" w:lineRule="auto"/>
              <w:rPr>
                <w:rFonts w:eastAsia="Times New Roman"/>
                <w:color w:val="FF0000"/>
                <w:sz w:val="19"/>
              </w:rPr>
            </w:pPr>
            <w:r>
              <w:rPr>
                <w:rFonts w:eastAsia="Times New Roman"/>
                <w:color w:val="FF0000"/>
                <w:sz w:val="19"/>
              </w:rPr>
              <w:t>0.80</w:t>
            </w:r>
          </w:p>
        </w:tc>
        <w:tc>
          <w:tcPr>
            <w:tcW w:w="1584" w:type="dxa"/>
            <w:tcBorders>
              <w:top w:val="single" w:sz="4" w:space="0" w:color="auto"/>
            </w:tcBorders>
            <w:vAlign w:val="center"/>
          </w:tcPr>
          <w:p w14:paraId="13BA68CD" w14:textId="77777777" w:rsidR="00EB7A45" w:rsidRDefault="00082F54">
            <w:pPr>
              <w:spacing w:after="0" w:line="240" w:lineRule="auto"/>
              <w:rPr>
                <w:rFonts w:eastAsia="Times New Roman"/>
                <w:color w:val="FF0000"/>
                <w:sz w:val="19"/>
              </w:rPr>
            </w:pPr>
            <w:r>
              <w:rPr>
                <w:rFonts w:eastAsia="Times New Roman"/>
                <w:color w:val="FF0000"/>
                <w:sz w:val="19"/>
              </w:rPr>
              <w:t>0.66-0.97</w:t>
            </w:r>
          </w:p>
        </w:tc>
        <w:tc>
          <w:tcPr>
            <w:tcW w:w="1008" w:type="dxa"/>
            <w:tcBorders>
              <w:top w:val="single" w:sz="4" w:space="0" w:color="auto"/>
            </w:tcBorders>
            <w:vAlign w:val="center"/>
          </w:tcPr>
          <w:p w14:paraId="71534C39" w14:textId="77777777" w:rsidR="00EB7A45" w:rsidRDefault="00082F54">
            <w:pPr>
              <w:spacing w:after="0" w:line="240" w:lineRule="auto"/>
              <w:rPr>
                <w:rFonts w:eastAsia="Times New Roman"/>
                <w:color w:val="FF0000"/>
                <w:sz w:val="19"/>
              </w:rPr>
            </w:pPr>
            <w:r>
              <w:rPr>
                <w:rFonts w:eastAsia="Times New Roman"/>
                <w:color w:val="FF0000"/>
                <w:sz w:val="19"/>
              </w:rPr>
              <w:t>0.024</w:t>
            </w:r>
          </w:p>
        </w:tc>
        <w:tc>
          <w:tcPr>
            <w:tcW w:w="2448" w:type="dxa"/>
            <w:tcBorders>
              <w:top w:val="single" w:sz="4" w:space="0" w:color="auto"/>
            </w:tcBorders>
            <w:vAlign w:val="center"/>
          </w:tcPr>
          <w:p w14:paraId="23A0190D" w14:textId="77777777" w:rsidR="00EB7A45" w:rsidRDefault="00082F54">
            <w:pPr>
              <w:spacing w:after="0" w:line="240" w:lineRule="auto"/>
              <w:rPr>
                <w:rFonts w:eastAsia="Times New Roman"/>
                <w:color w:val="FF0000"/>
                <w:sz w:val="19"/>
              </w:rPr>
            </w:pPr>
            <w:r>
              <w:rPr>
                <w:rFonts w:eastAsia="Times New Roman"/>
                <w:color w:val="FF0000"/>
                <w:sz w:val="19"/>
              </w:rPr>
              <w:t>Fiber expressed per 1,000 kcal</w:t>
            </w:r>
          </w:p>
        </w:tc>
      </w:tr>
      <w:tr w:rsidR="00EB7A45" w14:paraId="3636F594" w14:textId="77777777">
        <w:trPr>
          <w:cantSplit/>
          <w:jc w:val="center"/>
        </w:trPr>
        <w:tc>
          <w:tcPr>
            <w:tcW w:w="2880" w:type="dxa"/>
            <w:tcBorders>
              <w:top w:val="single" w:sz="4" w:space="0" w:color="auto"/>
            </w:tcBorders>
            <w:vAlign w:val="center"/>
          </w:tcPr>
          <w:p w14:paraId="6F4758C8" w14:textId="77777777" w:rsidR="00EB7A45" w:rsidRDefault="00082F54">
            <w:pPr>
              <w:spacing w:after="0" w:line="240" w:lineRule="auto"/>
            </w:pPr>
            <w:r>
              <w:rPr>
                <w:rFonts w:eastAsia="Times New Roman"/>
                <w:color w:val="FF0000"/>
                <w:sz w:val="19"/>
              </w:rPr>
              <w:t>Complete-case Model 3</w:t>
            </w:r>
          </w:p>
        </w:tc>
        <w:tc>
          <w:tcPr>
            <w:tcW w:w="1008" w:type="dxa"/>
            <w:tcBorders>
              <w:top w:val="single" w:sz="4" w:space="0" w:color="auto"/>
            </w:tcBorders>
            <w:vAlign w:val="center"/>
          </w:tcPr>
          <w:p w14:paraId="1F25E46C" w14:textId="77777777" w:rsidR="00EB7A45" w:rsidRDefault="00082F54">
            <w:pPr>
              <w:spacing w:after="0" w:line="240" w:lineRule="auto"/>
            </w:pPr>
            <w:r>
              <w:rPr>
                <w:rFonts w:eastAsia="Times New Roman"/>
                <w:color w:val="FF0000"/>
                <w:sz w:val="19"/>
              </w:rPr>
              <w:t>6,145</w:t>
            </w:r>
          </w:p>
        </w:tc>
        <w:tc>
          <w:tcPr>
            <w:tcW w:w="1584" w:type="dxa"/>
            <w:tcBorders>
              <w:top w:val="single" w:sz="4" w:space="0" w:color="auto"/>
            </w:tcBorders>
            <w:vAlign w:val="center"/>
          </w:tcPr>
          <w:p w14:paraId="0BB8CF24" w14:textId="77777777" w:rsidR="00EB7A45" w:rsidRDefault="00082F54">
            <w:pPr>
              <w:spacing w:after="0" w:line="240" w:lineRule="auto"/>
            </w:pPr>
            <w:r>
              <w:rPr>
                <w:rFonts w:eastAsia="Times New Roman"/>
                <w:color w:val="FF0000"/>
                <w:sz w:val="19"/>
              </w:rPr>
              <w:t>0.80</w:t>
            </w:r>
          </w:p>
        </w:tc>
        <w:tc>
          <w:tcPr>
            <w:tcW w:w="1584" w:type="dxa"/>
            <w:tcBorders>
              <w:top w:val="single" w:sz="4" w:space="0" w:color="auto"/>
            </w:tcBorders>
            <w:vAlign w:val="center"/>
          </w:tcPr>
          <w:p w14:paraId="4BEF4BA1" w14:textId="77777777" w:rsidR="00EB7A45" w:rsidRDefault="00082F54">
            <w:pPr>
              <w:spacing w:after="0" w:line="240" w:lineRule="auto"/>
            </w:pPr>
            <w:r>
              <w:rPr>
                <w:rFonts w:eastAsia="Times New Roman"/>
                <w:color w:val="FF0000"/>
                <w:sz w:val="19"/>
              </w:rPr>
              <w:t>0.64-0.99</w:t>
            </w:r>
          </w:p>
        </w:tc>
        <w:tc>
          <w:tcPr>
            <w:tcW w:w="1008" w:type="dxa"/>
            <w:tcBorders>
              <w:top w:val="single" w:sz="4" w:space="0" w:color="auto"/>
            </w:tcBorders>
            <w:vAlign w:val="center"/>
          </w:tcPr>
          <w:p w14:paraId="36353821" w14:textId="77777777" w:rsidR="00EB7A45" w:rsidRDefault="00082F54">
            <w:pPr>
              <w:spacing w:after="0" w:line="240" w:lineRule="auto"/>
            </w:pPr>
            <w:r>
              <w:rPr>
                <w:rFonts w:eastAsia="Times New Roman"/>
                <w:color w:val="FF0000"/>
                <w:sz w:val="19"/>
              </w:rPr>
              <w:t>0.043</w:t>
            </w:r>
          </w:p>
        </w:tc>
        <w:tc>
          <w:tcPr>
            <w:tcW w:w="2448" w:type="dxa"/>
            <w:tcBorders>
              <w:top w:val="single" w:sz="4" w:space="0" w:color="auto"/>
            </w:tcBorders>
            <w:vAlign w:val="center"/>
          </w:tcPr>
          <w:p w14:paraId="32B71F42" w14:textId="77777777" w:rsidR="00EB7A45" w:rsidRDefault="00082F54">
            <w:pPr>
              <w:spacing w:after="0" w:line="240" w:lineRule="auto"/>
            </w:pPr>
            <w:r>
              <w:rPr>
                <w:rFonts w:eastAsia="Times New Roman"/>
                <w:color w:val="FF0000"/>
                <w:sz w:val="19"/>
              </w:rPr>
              <w:t>E-value = 1.81; CI-limit E-value = 1.11</w:t>
            </w:r>
          </w:p>
        </w:tc>
      </w:tr>
      <w:tr w:rsidR="00EB7A45" w14:paraId="32A54274" w14:textId="77777777">
        <w:trPr>
          <w:cantSplit/>
          <w:jc w:val="center"/>
        </w:trPr>
        <w:tc>
          <w:tcPr>
            <w:tcW w:w="2880" w:type="dxa"/>
            <w:vAlign w:val="center"/>
          </w:tcPr>
          <w:p w14:paraId="7577F6FE" w14:textId="77777777" w:rsidR="00EB7A45" w:rsidRDefault="00082F54">
            <w:pPr>
              <w:spacing w:after="0" w:line="240" w:lineRule="auto"/>
            </w:pPr>
            <w:r>
              <w:rPr>
                <w:rFonts w:eastAsia="Times New Roman"/>
                <w:color w:val="FF0000"/>
                <w:sz w:val="19"/>
              </w:rPr>
              <w:lastRenderedPageBreak/>
              <w:t>Multiple-imputation Model 3</w:t>
            </w:r>
          </w:p>
        </w:tc>
        <w:tc>
          <w:tcPr>
            <w:tcW w:w="1008" w:type="dxa"/>
            <w:vAlign w:val="center"/>
          </w:tcPr>
          <w:p w14:paraId="164B7260" w14:textId="77777777" w:rsidR="00EB7A45" w:rsidRDefault="00082F54">
            <w:pPr>
              <w:spacing w:after="0" w:line="240" w:lineRule="auto"/>
            </w:pPr>
            <w:r>
              <w:rPr>
                <w:rFonts w:eastAsia="Times New Roman"/>
                <w:color w:val="FF0000"/>
                <w:sz w:val="19"/>
              </w:rPr>
              <w:t>7,302</w:t>
            </w:r>
          </w:p>
        </w:tc>
        <w:tc>
          <w:tcPr>
            <w:tcW w:w="1584" w:type="dxa"/>
            <w:vAlign w:val="center"/>
          </w:tcPr>
          <w:p w14:paraId="676F8957" w14:textId="77777777" w:rsidR="00EB7A45" w:rsidRDefault="00082F54">
            <w:pPr>
              <w:spacing w:after="0" w:line="240" w:lineRule="auto"/>
            </w:pPr>
            <w:r>
              <w:rPr>
                <w:rFonts w:eastAsia="Times New Roman"/>
                <w:color w:val="FF0000"/>
                <w:sz w:val="19"/>
              </w:rPr>
              <w:t>0.81</w:t>
            </w:r>
          </w:p>
        </w:tc>
        <w:tc>
          <w:tcPr>
            <w:tcW w:w="1584" w:type="dxa"/>
            <w:vAlign w:val="center"/>
          </w:tcPr>
          <w:p w14:paraId="3CF4BED9" w14:textId="77777777" w:rsidR="00EB7A45" w:rsidRDefault="00082F54">
            <w:pPr>
              <w:spacing w:after="0" w:line="240" w:lineRule="auto"/>
            </w:pPr>
            <w:r>
              <w:rPr>
                <w:rFonts w:eastAsia="Times New Roman"/>
                <w:color w:val="FF0000"/>
                <w:sz w:val="19"/>
              </w:rPr>
              <w:t>0.66-0.99</w:t>
            </w:r>
          </w:p>
        </w:tc>
        <w:tc>
          <w:tcPr>
            <w:tcW w:w="1008" w:type="dxa"/>
            <w:vAlign w:val="center"/>
          </w:tcPr>
          <w:p w14:paraId="144A686C" w14:textId="77777777" w:rsidR="00EB7A45" w:rsidRDefault="00082F54">
            <w:pPr>
              <w:spacing w:after="0" w:line="240" w:lineRule="auto"/>
            </w:pPr>
            <w:r>
              <w:rPr>
                <w:rFonts w:eastAsia="Times New Roman"/>
                <w:color w:val="FF0000"/>
                <w:sz w:val="19"/>
              </w:rPr>
              <w:t>0.041</w:t>
            </w:r>
          </w:p>
        </w:tc>
        <w:tc>
          <w:tcPr>
            <w:tcW w:w="2448" w:type="dxa"/>
            <w:vAlign w:val="center"/>
          </w:tcPr>
          <w:p w14:paraId="0594A5B2" w14:textId="77777777" w:rsidR="00EB7A45" w:rsidRDefault="00082F54">
            <w:pPr>
              <w:spacing w:after="0" w:line="240" w:lineRule="auto"/>
            </w:pPr>
            <w:r>
              <w:rPr>
                <w:rFonts w:eastAsia="Times New Roman"/>
                <w:color w:val="FF0000"/>
                <w:sz w:val="19"/>
              </w:rPr>
              <w:t>Estimate closely matched complete-case result</w:t>
            </w:r>
          </w:p>
        </w:tc>
      </w:tr>
      <w:tr w:rsidR="00EB7A45" w14:paraId="63899ACD" w14:textId="77777777">
        <w:trPr>
          <w:cantSplit/>
          <w:jc w:val="center"/>
        </w:trPr>
        <w:tc>
          <w:tcPr>
            <w:tcW w:w="2880" w:type="dxa"/>
            <w:vAlign w:val="center"/>
          </w:tcPr>
          <w:p w14:paraId="08F33D1A" w14:textId="77777777" w:rsidR="00EB7A45" w:rsidRDefault="00082F54">
            <w:pPr>
              <w:spacing w:after="0" w:line="240" w:lineRule="auto"/>
            </w:pPr>
            <w:r>
              <w:rPr>
                <w:rFonts w:eastAsia="Times New Roman"/>
                <w:color w:val="FF0000"/>
                <w:sz w:val="19"/>
              </w:rPr>
              <w:t>Complete-case Model 4 + BMI</w:t>
            </w:r>
          </w:p>
        </w:tc>
        <w:tc>
          <w:tcPr>
            <w:tcW w:w="1008" w:type="dxa"/>
            <w:vAlign w:val="center"/>
          </w:tcPr>
          <w:p w14:paraId="767BC391" w14:textId="77777777" w:rsidR="00EB7A45" w:rsidRDefault="00082F54">
            <w:pPr>
              <w:spacing w:after="0" w:line="240" w:lineRule="auto"/>
            </w:pPr>
            <w:r>
              <w:rPr>
                <w:rFonts w:eastAsia="Times New Roman"/>
                <w:color w:val="FF0000"/>
                <w:sz w:val="19"/>
              </w:rPr>
              <w:t>6,145</w:t>
            </w:r>
          </w:p>
        </w:tc>
        <w:tc>
          <w:tcPr>
            <w:tcW w:w="1584" w:type="dxa"/>
            <w:vAlign w:val="center"/>
          </w:tcPr>
          <w:p w14:paraId="050A8991" w14:textId="77777777" w:rsidR="00EB7A45" w:rsidRDefault="00082F54">
            <w:pPr>
              <w:spacing w:after="0" w:line="240" w:lineRule="auto"/>
            </w:pPr>
            <w:r>
              <w:rPr>
                <w:rFonts w:eastAsia="Times New Roman"/>
                <w:color w:val="FF0000"/>
                <w:sz w:val="19"/>
              </w:rPr>
              <w:t>0.82</w:t>
            </w:r>
          </w:p>
        </w:tc>
        <w:tc>
          <w:tcPr>
            <w:tcW w:w="1584" w:type="dxa"/>
            <w:vAlign w:val="center"/>
          </w:tcPr>
          <w:p w14:paraId="004C24C5" w14:textId="77777777" w:rsidR="00EB7A45" w:rsidRDefault="00082F54">
            <w:pPr>
              <w:spacing w:after="0" w:line="240" w:lineRule="auto"/>
            </w:pPr>
            <w:r>
              <w:rPr>
                <w:rFonts w:eastAsia="Times New Roman"/>
                <w:color w:val="FF0000"/>
                <w:sz w:val="19"/>
              </w:rPr>
              <w:t>0.66-1.02</w:t>
            </w:r>
          </w:p>
        </w:tc>
        <w:tc>
          <w:tcPr>
            <w:tcW w:w="1008" w:type="dxa"/>
            <w:vAlign w:val="center"/>
          </w:tcPr>
          <w:p w14:paraId="042B49AD" w14:textId="77777777" w:rsidR="00EB7A45" w:rsidRDefault="00082F54">
            <w:pPr>
              <w:spacing w:after="0" w:line="240" w:lineRule="auto"/>
            </w:pPr>
            <w:r>
              <w:rPr>
                <w:rFonts w:eastAsia="Times New Roman"/>
                <w:color w:val="FF0000"/>
                <w:sz w:val="19"/>
              </w:rPr>
              <w:t>0.076</w:t>
            </w:r>
          </w:p>
        </w:tc>
        <w:tc>
          <w:tcPr>
            <w:tcW w:w="2448" w:type="dxa"/>
            <w:vAlign w:val="center"/>
          </w:tcPr>
          <w:p w14:paraId="0BB6167E" w14:textId="77777777" w:rsidR="00EB7A45" w:rsidRDefault="00082F54">
            <w:pPr>
              <w:spacing w:after="0" w:line="240" w:lineRule="auto"/>
            </w:pPr>
            <w:r>
              <w:rPr>
                <w:rFonts w:eastAsia="Times New Roman"/>
                <w:color w:val="FF0000"/>
                <w:sz w:val="19"/>
              </w:rPr>
              <w:t>11.1% attenuation of log-odds coefficient</w:t>
            </w:r>
          </w:p>
        </w:tc>
      </w:tr>
      <w:tr w:rsidR="00EB7A45" w14:paraId="73E1DD01" w14:textId="77777777">
        <w:trPr>
          <w:cantSplit/>
          <w:jc w:val="center"/>
        </w:trPr>
        <w:tc>
          <w:tcPr>
            <w:tcW w:w="2880" w:type="dxa"/>
            <w:vAlign w:val="center"/>
          </w:tcPr>
          <w:p w14:paraId="310498E1" w14:textId="77777777" w:rsidR="00EB7A45" w:rsidRDefault="00082F54">
            <w:pPr>
              <w:spacing w:after="0" w:line="240" w:lineRule="auto"/>
            </w:pPr>
            <w:r>
              <w:rPr>
                <w:rFonts w:eastAsia="Times New Roman"/>
                <w:color w:val="FF0000"/>
                <w:sz w:val="19"/>
              </w:rPr>
              <w:t>Multiple-imputation Model 4 + BMI</w:t>
            </w:r>
          </w:p>
        </w:tc>
        <w:tc>
          <w:tcPr>
            <w:tcW w:w="1008" w:type="dxa"/>
            <w:vAlign w:val="center"/>
          </w:tcPr>
          <w:p w14:paraId="1869CF33" w14:textId="77777777" w:rsidR="00EB7A45" w:rsidRDefault="00082F54">
            <w:pPr>
              <w:spacing w:after="0" w:line="240" w:lineRule="auto"/>
            </w:pPr>
            <w:r>
              <w:rPr>
                <w:rFonts w:eastAsia="Times New Roman"/>
                <w:color w:val="FF0000"/>
                <w:sz w:val="19"/>
              </w:rPr>
              <w:t>7,302</w:t>
            </w:r>
          </w:p>
        </w:tc>
        <w:tc>
          <w:tcPr>
            <w:tcW w:w="1584" w:type="dxa"/>
            <w:vAlign w:val="center"/>
          </w:tcPr>
          <w:p w14:paraId="2E3E9ABD" w14:textId="77777777" w:rsidR="00EB7A45" w:rsidRDefault="00082F54">
            <w:pPr>
              <w:spacing w:after="0" w:line="240" w:lineRule="auto"/>
            </w:pPr>
            <w:r>
              <w:rPr>
                <w:rFonts w:eastAsia="Times New Roman"/>
                <w:color w:val="FF0000"/>
                <w:sz w:val="19"/>
              </w:rPr>
              <w:t>0.83</w:t>
            </w:r>
          </w:p>
        </w:tc>
        <w:tc>
          <w:tcPr>
            <w:tcW w:w="1584" w:type="dxa"/>
            <w:vAlign w:val="center"/>
          </w:tcPr>
          <w:p w14:paraId="32C31BE1" w14:textId="77777777" w:rsidR="00EB7A45" w:rsidRDefault="00082F54">
            <w:pPr>
              <w:spacing w:after="0" w:line="240" w:lineRule="auto"/>
            </w:pPr>
            <w:r>
              <w:rPr>
                <w:rFonts w:eastAsia="Times New Roman"/>
                <w:color w:val="FF0000"/>
                <w:sz w:val="19"/>
              </w:rPr>
              <w:t>0.68-1.02</w:t>
            </w:r>
          </w:p>
        </w:tc>
        <w:tc>
          <w:tcPr>
            <w:tcW w:w="1008" w:type="dxa"/>
            <w:vAlign w:val="center"/>
          </w:tcPr>
          <w:p w14:paraId="02114AB4" w14:textId="77777777" w:rsidR="00EB7A45" w:rsidRDefault="00082F54">
            <w:pPr>
              <w:spacing w:after="0" w:line="240" w:lineRule="auto"/>
            </w:pPr>
            <w:r>
              <w:rPr>
                <w:rFonts w:eastAsia="Times New Roman"/>
                <w:color w:val="FF0000"/>
                <w:sz w:val="19"/>
              </w:rPr>
              <w:t>0.078</w:t>
            </w:r>
          </w:p>
        </w:tc>
        <w:tc>
          <w:tcPr>
            <w:tcW w:w="2448" w:type="dxa"/>
            <w:vAlign w:val="center"/>
          </w:tcPr>
          <w:p w14:paraId="6C6B8533" w14:textId="77777777" w:rsidR="00EB7A45" w:rsidRDefault="00082F54">
            <w:pPr>
              <w:spacing w:after="0" w:line="240" w:lineRule="auto"/>
            </w:pPr>
            <w:r>
              <w:rPr>
                <w:rFonts w:eastAsia="Times New Roman"/>
                <w:color w:val="FF0000"/>
                <w:sz w:val="19"/>
              </w:rPr>
              <w:t>Estimate closely matched complete-case result</w:t>
            </w:r>
          </w:p>
        </w:tc>
      </w:tr>
    </w:tbl>
    <w:p w14:paraId="3AE85A49" w14:textId="77777777" w:rsidR="00EB7A45" w:rsidRDefault="00082F54">
      <w:pPr>
        <w:spacing w:before="100"/>
      </w:pPr>
      <w:r>
        <w:rPr>
          <w:color w:val="FF0000"/>
        </w:rPr>
        <w:t>Note: Odds ratios are per 1-SD increase in the specified fiber exposure. Multiple imputation used chained equations with 20 imputed datasets and Rubin's rules and included all 7,302 otherwise eligible adults. Model 3 excluded BMI from the core confounder set; Model 4 added BMI as a sensitivity analysis. The complete-case rows use the common N = 6,145 sample required across Models 1-4 for direct coefficient comparison; BMI availability was therefore required for sample membership even though BMI was not a Mo</w:t>
      </w:r>
      <w:r>
        <w:rPr>
          <w:color w:val="FF0000"/>
        </w:rPr>
        <w:t>del 3 covariate. E-values quantify the minimum strength of association that an unmeasured confounder would need with both exposure and outcome, conditional on measured covariates, to explain the observed point estimate or move the confidence interval to the null.</w:t>
      </w:r>
    </w:p>
    <w:p w14:paraId="7EDC8426" w14:textId="77777777" w:rsidR="00EB7A45" w:rsidRDefault="00082F54">
      <w:pPr>
        <w:spacing w:before="100" w:after="160"/>
      </w:pPr>
      <w:r>
        <w:rPr>
          <w:rFonts w:eastAsia="Times New Roman"/>
          <w:color w:val="FF0000"/>
        </w:rPr>
        <w:t>Table S6. Benjamini-Hochberg false-discovery-rate correction across the three prespecified Model 3 asthma outcomes.</w:t>
      </w:r>
    </w:p>
    <w:tbl>
      <w:tblPr>
        <w:tblStyle w:val="Tabellrutnt"/>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4"/>
        <w:gridCol w:w="2016"/>
        <w:gridCol w:w="2160"/>
      </w:tblGrid>
      <w:tr w:rsidR="00EB7A45" w14:paraId="4FC60BD6" w14:textId="77777777">
        <w:trPr>
          <w:tblHeader/>
          <w:jc w:val="center"/>
        </w:trPr>
        <w:tc>
          <w:tcPr>
            <w:tcW w:w="5184" w:type="dxa"/>
            <w:tcBorders>
              <w:bottom w:val="single" w:sz="4" w:space="0" w:color="auto"/>
            </w:tcBorders>
            <w:vAlign w:val="center"/>
          </w:tcPr>
          <w:p w14:paraId="6CC699A4" w14:textId="77777777" w:rsidR="00EB7A45" w:rsidRDefault="00082F54">
            <w:pPr>
              <w:spacing w:after="0" w:line="240" w:lineRule="auto"/>
            </w:pPr>
            <w:r>
              <w:rPr>
                <w:rFonts w:eastAsia="Times New Roman"/>
                <w:b/>
                <w:color w:val="FF0000"/>
                <w:sz w:val="19"/>
              </w:rPr>
              <w:t>Outcome</w:t>
            </w:r>
          </w:p>
        </w:tc>
        <w:tc>
          <w:tcPr>
            <w:tcW w:w="2016" w:type="dxa"/>
            <w:tcBorders>
              <w:bottom w:val="single" w:sz="4" w:space="0" w:color="auto"/>
            </w:tcBorders>
            <w:vAlign w:val="center"/>
          </w:tcPr>
          <w:p w14:paraId="1A0121E4" w14:textId="77777777" w:rsidR="00EB7A45" w:rsidRDefault="00082F54">
            <w:pPr>
              <w:spacing w:after="0" w:line="240" w:lineRule="auto"/>
            </w:pPr>
            <w:r>
              <w:rPr>
                <w:rFonts w:eastAsia="Times New Roman"/>
                <w:b/>
                <w:color w:val="FF0000"/>
                <w:sz w:val="19"/>
              </w:rPr>
              <w:t>Nominal P value</w:t>
            </w:r>
          </w:p>
        </w:tc>
        <w:tc>
          <w:tcPr>
            <w:tcW w:w="2160" w:type="dxa"/>
            <w:tcBorders>
              <w:bottom w:val="single" w:sz="4" w:space="0" w:color="auto"/>
            </w:tcBorders>
            <w:vAlign w:val="center"/>
          </w:tcPr>
          <w:p w14:paraId="387DDE4D" w14:textId="77777777" w:rsidR="00EB7A45" w:rsidRDefault="00082F54">
            <w:pPr>
              <w:spacing w:after="0" w:line="240" w:lineRule="auto"/>
            </w:pPr>
            <w:r>
              <w:rPr>
                <w:rFonts w:eastAsia="Times New Roman"/>
                <w:b/>
                <w:color w:val="FF0000"/>
                <w:sz w:val="19"/>
              </w:rPr>
              <w:t>BH-FDR q value</w:t>
            </w:r>
          </w:p>
        </w:tc>
      </w:tr>
      <w:tr w:rsidR="00EB7A45" w14:paraId="43EBB879" w14:textId="77777777">
        <w:trPr>
          <w:jc w:val="center"/>
        </w:trPr>
        <w:tc>
          <w:tcPr>
            <w:tcW w:w="5184" w:type="dxa"/>
            <w:tcBorders>
              <w:top w:val="single" w:sz="4" w:space="0" w:color="auto"/>
            </w:tcBorders>
            <w:vAlign w:val="center"/>
          </w:tcPr>
          <w:p w14:paraId="7BC0DEBD" w14:textId="77777777" w:rsidR="00EB7A45" w:rsidRDefault="00082F54">
            <w:pPr>
              <w:spacing w:after="0" w:line="240" w:lineRule="auto"/>
            </w:pPr>
            <w:r>
              <w:rPr>
                <w:rFonts w:eastAsia="Times New Roman"/>
                <w:color w:val="FF0000"/>
                <w:sz w:val="19"/>
              </w:rPr>
              <w:t>Current asthma</w:t>
            </w:r>
          </w:p>
        </w:tc>
        <w:tc>
          <w:tcPr>
            <w:tcW w:w="2016" w:type="dxa"/>
            <w:tcBorders>
              <w:top w:val="single" w:sz="4" w:space="0" w:color="auto"/>
            </w:tcBorders>
            <w:vAlign w:val="center"/>
          </w:tcPr>
          <w:p w14:paraId="312DFC3C" w14:textId="77777777" w:rsidR="00EB7A45" w:rsidRDefault="00082F54">
            <w:pPr>
              <w:spacing w:after="0" w:line="240" w:lineRule="auto"/>
            </w:pPr>
            <w:r>
              <w:rPr>
                <w:rFonts w:eastAsia="Times New Roman"/>
                <w:color w:val="FF0000"/>
                <w:sz w:val="19"/>
              </w:rPr>
              <w:t>0.043</w:t>
            </w:r>
          </w:p>
        </w:tc>
        <w:tc>
          <w:tcPr>
            <w:tcW w:w="2160" w:type="dxa"/>
            <w:tcBorders>
              <w:top w:val="single" w:sz="4" w:space="0" w:color="auto"/>
            </w:tcBorders>
            <w:vAlign w:val="center"/>
          </w:tcPr>
          <w:p w14:paraId="4C326223" w14:textId="77777777" w:rsidR="00EB7A45" w:rsidRDefault="00082F54">
            <w:pPr>
              <w:spacing w:after="0" w:line="240" w:lineRule="auto"/>
            </w:pPr>
            <w:r>
              <w:rPr>
                <w:rFonts w:eastAsia="Times New Roman"/>
                <w:color w:val="FF0000"/>
                <w:sz w:val="19"/>
              </w:rPr>
              <w:t>0.129</w:t>
            </w:r>
          </w:p>
        </w:tc>
      </w:tr>
      <w:tr w:rsidR="00EB7A45" w14:paraId="5CFAACC7" w14:textId="77777777">
        <w:trPr>
          <w:jc w:val="center"/>
        </w:trPr>
        <w:tc>
          <w:tcPr>
            <w:tcW w:w="5184" w:type="dxa"/>
            <w:vAlign w:val="center"/>
          </w:tcPr>
          <w:p w14:paraId="4510D90B" w14:textId="77777777" w:rsidR="00EB7A45" w:rsidRDefault="00082F54">
            <w:pPr>
              <w:spacing w:after="0" w:line="240" w:lineRule="auto"/>
            </w:pPr>
            <w:r>
              <w:rPr>
                <w:rFonts w:eastAsia="Times New Roman"/>
                <w:color w:val="FF0000"/>
                <w:sz w:val="19"/>
              </w:rPr>
              <w:t>Asthma attack, past 12 months</w:t>
            </w:r>
          </w:p>
        </w:tc>
        <w:tc>
          <w:tcPr>
            <w:tcW w:w="2016" w:type="dxa"/>
            <w:vAlign w:val="center"/>
          </w:tcPr>
          <w:p w14:paraId="326341BB" w14:textId="77777777" w:rsidR="00EB7A45" w:rsidRDefault="00082F54">
            <w:pPr>
              <w:spacing w:after="0" w:line="240" w:lineRule="auto"/>
            </w:pPr>
            <w:r>
              <w:rPr>
                <w:rFonts w:eastAsia="Times New Roman"/>
                <w:color w:val="FF0000"/>
                <w:sz w:val="19"/>
              </w:rPr>
              <w:t>0.523</w:t>
            </w:r>
          </w:p>
        </w:tc>
        <w:tc>
          <w:tcPr>
            <w:tcW w:w="2160" w:type="dxa"/>
            <w:vAlign w:val="center"/>
          </w:tcPr>
          <w:p w14:paraId="24DD6865" w14:textId="77777777" w:rsidR="00EB7A45" w:rsidRDefault="00082F54">
            <w:pPr>
              <w:spacing w:after="0" w:line="240" w:lineRule="auto"/>
            </w:pPr>
            <w:r>
              <w:rPr>
                <w:rFonts w:eastAsia="Times New Roman"/>
                <w:color w:val="FF0000"/>
                <w:sz w:val="19"/>
              </w:rPr>
              <w:t>0.631</w:t>
            </w:r>
          </w:p>
        </w:tc>
      </w:tr>
      <w:tr w:rsidR="00EB7A45" w14:paraId="4DF6C9C2" w14:textId="77777777">
        <w:trPr>
          <w:jc w:val="center"/>
        </w:trPr>
        <w:tc>
          <w:tcPr>
            <w:tcW w:w="5184" w:type="dxa"/>
            <w:vAlign w:val="center"/>
          </w:tcPr>
          <w:p w14:paraId="17C33014" w14:textId="77777777" w:rsidR="00EB7A45" w:rsidRDefault="00082F54">
            <w:pPr>
              <w:spacing w:after="0" w:line="240" w:lineRule="auto"/>
            </w:pPr>
            <w:r>
              <w:rPr>
                <w:rFonts w:eastAsia="Times New Roman"/>
                <w:color w:val="FF0000"/>
                <w:sz w:val="19"/>
              </w:rPr>
              <w:t>Asthma-related acute-care visit</w:t>
            </w:r>
          </w:p>
        </w:tc>
        <w:tc>
          <w:tcPr>
            <w:tcW w:w="2016" w:type="dxa"/>
            <w:vAlign w:val="center"/>
          </w:tcPr>
          <w:p w14:paraId="36182451" w14:textId="77777777" w:rsidR="00EB7A45" w:rsidRDefault="00082F54">
            <w:pPr>
              <w:spacing w:after="0" w:line="240" w:lineRule="auto"/>
            </w:pPr>
            <w:r>
              <w:rPr>
                <w:rFonts w:eastAsia="Times New Roman"/>
                <w:color w:val="FF0000"/>
                <w:sz w:val="19"/>
              </w:rPr>
              <w:t>0.631</w:t>
            </w:r>
          </w:p>
        </w:tc>
        <w:tc>
          <w:tcPr>
            <w:tcW w:w="2160" w:type="dxa"/>
            <w:vAlign w:val="center"/>
          </w:tcPr>
          <w:p w14:paraId="573601FA" w14:textId="77777777" w:rsidR="00EB7A45" w:rsidRDefault="00082F54">
            <w:pPr>
              <w:spacing w:after="0" w:line="240" w:lineRule="auto"/>
            </w:pPr>
            <w:r>
              <w:rPr>
                <w:rFonts w:eastAsia="Times New Roman"/>
                <w:color w:val="FF0000"/>
                <w:sz w:val="19"/>
              </w:rPr>
              <w:t>0.631</w:t>
            </w:r>
          </w:p>
        </w:tc>
      </w:tr>
    </w:tbl>
    <w:p w14:paraId="0FA6ED93" w14:textId="77777777" w:rsidR="00EB7A45" w:rsidRDefault="00082F54">
      <w:pPr>
        <w:spacing w:before="100"/>
      </w:pPr>
      <w:r>
        <w:rPr>
          <w:rFonts w:eastAsia="Times New Roman"/>
          <w:color w:val="FF0000"/>
        </w:rPr>
        <w:t xml:space="preserve">Note: </w:t>
      </w:r>
      <w:r>
        <w:rPr>
          <w:rFonts w:eastAsia="Times New Roman"/>
          <w:color w:val="FF0000"/>
        </w:rPr>
        <w:t>The three prespecified asthma outcomes were treated as one hypothesis family. Progressive adjustment stages within the same outcome were not treated as independent hypotheses.</w:t>
      </w:r>
    </w:p>
    <w:sectPr w:rsidR="00EB7A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BBA17" w14:textId="77777777" w:rsidR="00082F54" w:rsidRDefault="00082F54">
      <w:pPr>
        <w:spacing w:line="240" w:lineRule="auto"/>
      </w:pPr>
      <w:r>
        <w:separator/>
      </w:r>
    </w:p>
  </w:endnote>
  <w:endnote w:type="continuationSeparator" w:id="0">
    <w:p w14:paraId="4EE22253" w14:textId="77777777" w:rsidR="00082F54" w:rsidRDefault="00082F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1AA6D" w14:textId="77777777" w:rsidR="00082F54" w:rsidRDefault="00082F54">
      <w:pPr>
        <w:spacing w:after="0"/>
      </w:pPr>
      <w:r>
        <w:separator/>
      </w:r>
    </w:p>
  </w:footnote>
  <w:footnote w:type="continuationSeparator" w:id="0">
    <w:p w14:paraId="15C9A2B5" w14:textId="77777777" w:rsidR="00082F54" w:rsidRDefault="00082F5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Numreradlista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Numreradlista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Punktlista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Punktlista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Numreradlist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Punktlista"/>
      <w:lvlText w:val=""/>
      <w:lvlJc w:val="left"/>
      <w:pPr>
        <w:tabs>
          <w:tab w:val="left" w:pos="360"/>
        </w:tabs>
        <w:ind w:left="360" w:hanging="360"/>
      </w:pPr>
      <w:rPr>
        <w:rFonts w:ascii="Symbol" w:hAnsi="Symbol" w:hint="default"/>
      </w:rPr>
    </w:lvl>
  </w:abstractNum>
  <w:num w:numId="1" w16cid:durableId="430125086">
    <w:abstractNumId w:val="1"/>
  </w:num>
  <w:num w:numId="2" w16cid:durableId="80878433">
    <w:abstractNumId w:val="4"/>
  </w:num>
  <w:num w:numId="3" w16cid:durableId="610547880">
    <w:abstractNumId w:val="5"/>
  </w:num>
  <w:num w:numId="4" w16cid:durableId="1740252699">
    <w:abstractNumId w:val="2"/>
  </w:num>
  <w:num w:numId="5" w16cid:durableId="1684432152">
    <w:abstractNumId w:val="0"/>
  </w:num>
  <w:num w:numId="6" w16cid:durableId="6346005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A82"/>
    <w:rsid w:val="00082F54"/>
    <w:rsid w:val="0015074B"/>
    <w:rsid w:val="0029639D"/>
    <w:rsid w:val="00326F90"/>
    <w:rsid w:val="005C0832"/>
    <w:rsid w:val="00AA1D8D"/>
    <w:rsid w:val="00B47730"/>
    <w:rsid w:val="00CB0664"/>
    <w:rsid w:val="00EB7A45"/>
    <w:rsid w:val="00FC693F"/>
    <w:rsid w:val="195E332E"/>
    <w:rsid w:val="29403F7C"/>
    <w:rsid w:val="2E1B62DD"/>
    <w:rsid w:val="3AE01ADD"/>
    <w:rsid w:val="3BA61C3E"/>
    <w:rsid w:val="4F5336EF"/>
    <w:rsid w:val="77653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610053"/>
  <w14:defaultImageDpi w14:val="300"/>
  <w15:docId w15:val="{AEE1A935-77E7-4BA6-B493-DF68A06E7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480" w:lineRule="auto"/>
    </w:pPr>
    <w:rPr>
      <w:rFonts w:ascii="Times New Roman" w:hAnsi="Times New Roman"/>
      <w:sz w:val="24"/>
      <w:szCs w:val="22"/>
      <w:lang w:val="en-US" w:eastAsia="en-US"/>
    </w:rPr>
  </w:style>
  <w:style w:type="paragraph" w:styleId="Rubrik1">
    <w:name w:val="heading 1"/>
    <w:basedOn w:val="Normal"/>
    <w:next w:val="Normal"/>
    <w:link w:val="Rubrik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Rubrik6">
    <w:name w:val="heading 6"/>
    <w:basedOn w:val="Normal"/>
    <w:next w:val="Normal"/>
    <w:link w:val="Rubrik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Rubrik7">
    <w:name w:val="heading 7"/>
    <w:basedOn w:val="Normal"/>
    <w:next w:val="Normal"/>
    <w:link w:val="Rubrik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Makrotext">
    <w:name w:val="macro"/>
    <w:link w:val="Mak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Lista3">
    <w:name w:val="List 3"/>
    <w:basedOn w:val="Normal"/>
    <w:uiPriority w:val="99"/>
    <w:unhideWhenUsed/>
    <w:qFormat/>
    <w:pPr>
      <w:ind w:left="1080" w:hanging="360"/>
      <w:contextualSpacing/>
    </w:pPr>
  </w:style>
  <w:style w:type="paragraph" w:styleId="Numreradlista2">
    <w:name w:val="List Number 2"/>
    <w:basedOn w:val="Normal"/>
    <w:uiPriority w:val="99"/>
    <w:unhideWhenUsed/>
    <w:qFormat/>
    <w:pPr>
      <w:numPr>
        <w:numId w:val="1"/>
      </w:numPr>
      <w:contextualSpacing/>
    </w:pPr>
  </w:style>
  <w:style w:type="paragraph" w:styleId="Numreradlista">
    <w:name w:val="List Number"/>
    <w:basedOn w:val="Normal"/>
    <w:uiPriority w:val="99"/>
    <w:unhideWhenUsed/>
    <w:qFormat/>
    <w:pPr>
      <w:numPr>
        <w:numId w:val="2"/>
      </w:numPr>
      <w:contextualSpacing/>
    </w:pPr>
  </w:style>
  <w:style w:type="paragraph" w:styleId="Beskrivning">
    <w:name w:val="caption"/>
    <w:basedOn w:val="Normal"/>
    <w:next w:val="Normal"/>
    <w:uiPriority w:val="35"/>
    <w:semiHidden/>
    <w:unhideWhenUsed/>
    <w:qFormat/>
    <w:pPr>
      <w:spacing w:line="240" w:lineRule="auto"/>
    </w:pPr>
    <w:rPr>
      <w:b/>
      <w:bCs/>
      <w:color w:val="4F81BD" w:themeColor="accent1"/>
      <w:sz w:val="18"/>
      <w:szCs w:val="18"/>
    </w:rPr>
  </w:style>
  <w:style w:type="paragraph" w:styleId="Punktlista">
    <w:name w:val="List Bullet"/>
    <w:basedOn w:val="Normal"/>
    <w:uiPriority w:val="99"/>
    <w:unhideWhenUsed/>
    <w:qFormat/>
    <w:pPr>
      <w:numPr>
        <w:numId w:val="3"/>
      </w:numPr>
      <w:contextualSpacing/>
    </w:pPr>
  </w:style>
  <w:style w:type="paragraph" w:styleId="Kommentarer">
    <w:name w:val="annotation text"/>
    <w:basedOn w:val="Normal"/>
    <w:uiPriority w:val="99"/>
    <w:semiHidden/>
    <w:unhideWhenUsed/>
  </w:style>
  <w:style w:type="paragraph" w:styleId="Brdtext3">
    <w:name w:val="Body Text 3"/>
    <w:basedOn w:val="Normal"/>
    <w:link w:val="Brdtext3Char"/>
    <w:uiPriority w:val="99"/>
    <w:unhideWhenUsed/>
    <w:qFormat/>
    <w:pPr>
      <w:spacing w:after="120"/>
    </w:pPr>
    <w:rPr>
      <w:sz w:val="16"/>
      <w:szCs w:val="16"/>
    </w:rPr>
  </w:style>
  <w:style w:type="paragraph" w:styleId="Punktlista3">
    <w:name w:val="List Bullet 3"/>
    <w:basedOn w:val="Normal"/>
    <w:uiPriority w:val="99"/>
    <w:unhideWhenUsed/>
    <w:qFormat/>
    <w:pPr>
      <w:numPr>
        <w:numId w:val="4"/>
      </w:numPr>
      <w:contextualSpacing/>
    </w:pPr>
  </w:style>
  <w:style w:type="paragraph" w:styleId="Brdtext">
    <w:name w:val="Body Text"/>
    <w:basedOn w:val="Normal"/>
    <w:link w:val="BrdtextChar"/>
    <w:uiPriority w:val="99"/>
    <w:unhideWhenUsed/>
    <w:qFormat/>
    <w:pPr>
      <w:spacing w:after="120"/>
    </w:pPr>
  </w:style>
  <w:style w:type="paragraph" w:styleId="Numreradlista3">
    <w:name w:val="List Number 3"/>
    <w:basedOn w:val="Normal"/>
    <w:uiPriority w:val="99"/>
    <w:unhideWhenUsed/>
    <w:qFormat/>
    <w:pPr>
      <w:numPr>
        <w:numId w:val="5"/>
      </w:numPr>
      <w:contextualSpacing/>
    </w:pPr>
  </w:style>
  <w:style w:type="paragraph" w:styleId="Lista2">
    <w:name w:val="List 2"/>
    <w:basedOn w:val="Normal"/>
    <w:uiPriority w:val="99"/>
    <w:unhideWhenUsed/>
    <w:qFormat/>
    <w:pPr>
      <w:ind w:left="720" w:hanging="360"/>
      <w:contextualSpacing/>
    </w:pPr>
  </w:style>
  <w:style w:type="paragraph" w:styleId="Listafortstt">
    <w:name w:val="List Continue"/>
    <w:basedOn w:val="Normal"/>
    <w:uiPriority w:val="99"/>
    <w:unhideWhenUsed/>
    <w:qFormat/>
    <w:pPr>
      <w:spacing w:after="120"/>
      <w:ind w:left="360"/>
      <w:contextualSpacing/>
    </w:pPr>
  </w:style>
  <w:style w:type="paragraph" w:styleId="Punktlista2">
    <w:name w:val="List Bullet 2"/>
    <w:basedOn w:val="Normal"/>
    <w:uiPriority w:val="99"/>
    <w:unhideWhenUsed/>
    <w:qFormat/>
    <w:pPr>
      <w:numPr>
        <w:numId w:val="6"/>
      </w:numPr>
      <w:contextualSpacing/>
    </w:pPr>
  </w:style>
  <w:style w:type="paragraph" w:styleId="Sidfot">
    <w:name w:val="footer"/>
    <w:basedOn w:val="Normal"/>
    <w:link w:val="SidfotChar"/>
    <w:uiPriority w:val="99"/>
    <w:unhideWhenUsed/>
    <w:qFormat/>
    <w:pPr>
      <w:tabs>
        <w:tab w:val="center" w:pos="4680"/>
        <w:tab w:val="right" w:pos="9360"/>
      </w:tabs>
      <w:spacing w:after="0" w:line="240" w:lineRule="auto"/>
    </w:pPr>
  </w:style>
  <w:style w:type="paragraph" w:styleId="Sidhuvud">
    <w:name w:val="header"/>
    <w:basedOn w:val="Normal"/>
    <w:link w:val="SidhuvudChar"/>
    <w:uiPriority w:val="99"/>
    <w:unhideWhenUsed/>
    <w:qFormat/>
    <w:pPr>
      <w:tabs>
        <w:tab w:val="center" w:pos="4680"/>
        <w:tab w:val="right" w:pos="9360"/>
      </w:tabs>
      <w:spacing w:after="0" w:line="240" w:lineRule="auto"/>
    </w:pPr>
  </w:style>
  <w:style w:type="paragraph" w:styleId="Underrubrik">
    <w:name w:val="Subtitle"/>
    <w:basedOn w:val="Normal"/>
    <w:next w:val="Normal"/>
    <w:link w:val="UnderrubrikChar"/>
    <w:uiPriority w:val="11"/>
    <w:qFormat/>
    <w:rPr>
      <w:rFonts w:asciiTheme="majorHAnsi" w:eastAsiaTheme="majorEastAsia" w:hAnsiTheme="majorHAnsi" w:cstheme="majorBidi"/>
      <w:i/>
      <w:iCs/>
      <w:color w:val="4F81BD" w:themeColor="accent1"/>
      <w:spacing w:val="15"/>
      <w:szCs w:val="24"/>
    </w:rPr>
  </w:style>
  <w:style w:type="paragraph" w:styleId="Lista">
    <w:name w:val="List"/>
    <w:basedOn w:val="Normal"/>
    <w:uiPriority w:val="99"/>
    <w:unhideWhenUsed/>
    <w:qFormat/>
    <w:pPr>
      <w:ind w:left="360" w:hanging="360"/>
      <w:contextualSpacing/>
    </w:pPr>
  </w:style>
  <w:style w:type="paragraph" w:styleId="Brdtext2">
    <w:name w:val="Body Text 2"/>
    <w:basedOn w:val="Normal"/>
    <w:link w:val="Brdtext2Char"/>
    <w:uiPriority w:val="99"/>
    <w:unhideWhenUsed/>
    <w:qFormat/>
    <w:pPr>
      <w:spacing w:after="120"/>
    </w:pPr>
  </w:style>
  <w:style w:type="paragraph" w:styleId="Listafortstt2">
    <w:name w:val="List Continue 2"/>
    <w:basedOn w:val="Normal"/>
    <w:uiPriority w:val="99"/>
    <w:unhideWhenUsed/>
    <w:qFormat/>
    <w:pPr>
      <w:spacing w:after="120"/>
      <w:ind w:left="720"/>
      <w:contextualSpacing/>
    </w:pPr>
  </w:style>
  <w:style w:type="paragraph" w:styleId="Listafortstt3">
    <w:name w:val="List Continue 3"/>
    <w:basedOn w:val="Normal"/>
    <w:uiPriority w:val="99"/>
    <w:unhideWhenUsed/>
    <w:qFormat/>
    <w:pPr>
      <w:spacing w:after="120"/>
      <w:ind w:left="1080"/>
      <w:contextualSpacing/>
    </w:pPr>
  </w:style>
  <w:style w:type="paragraph" w:styleId="Rubrik">
    <w:name w:val="Title"/>
    <w:basedOn w:val="Normal"/>
    <w:next w:val="Normal"/>
    <w:link w:val="Rubrik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Tabellrutnt">
    <w:name w:val="Table Grid"/>
    <w:basedOn w:val="Normaltabel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justrutnt-dekorfrg1">
    <w:name w:val="Light Grid Accent 1"/>
    <w:basedOn w:val="Normaltabel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justrutnt-dekorfrg2">
    <w:name w:val="Light Grid Accent 2"/>
    <w:basedOn w:val="Normaltabel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justrutnt-dekorfrg3">
    <w:name w:val="Light Grid Accent 3"/>
    <w:basedOn w:val="Normaltabel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justrutnt-dekorfrg4">
    <w:name w:val="Light Grid Accent 4"/>
    <w:basedOn w:val="Normaltabel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justrutnt-dekorfrg5">
    <w:name w:val="Light Grid Accent 5"/>
    <w:basedOn w:val="Normaltabel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justrutnt-dekorfrg6">
    <w:name w:val="Light Grid Accent 6"/>
    <w:basedOn w:val="Normaltabel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llanmrkskuggning1">
    <w:name w:val="Medium Shading 1"/>
    <w:basedOn w:val="Normaltabel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llanmrktrutnt3-dekorfrg1">
    <w:name w:val="Medium Grid 3 Accent 1"/>
    <w:basedOn w:val="Normaltabel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llanmrktrutnt3-dekorfrg2">
    <w:name w:val="Medium Grid 3 Accent 2"/>
    <w:basedOn w:val="Normaltabel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llanmrktrutnt3-dekorfrg3">
    <w:name w:val="Medium Grid 3 Accent 3"/>
    <w:basedOn w:val="Normaltabel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llanmrktrutnt3-dekorfrg4">
    <w:name w:val="Medium Grid 3 Accent 4"/>
    <w:basedOn w:val="Normaltabel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llanmrktrutnt3-dekorfrg5">
    <w:name w:val="Medium Grid 3 Accent 5"/>
    <w:basedOn w:val="Normaltabel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llanmrktrutnt3-dekorfrg6">
    <w:name w:val="Medium Grid 3 Accent 6"/>
    <w:basedOn w:val="Normaltabel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Mrklista">
    <w:name w:val="Dark List"/>
    <w:basedOn w:val="Normaltabel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ark">
    <w:name w:val="Strong"/>
    <w:basedOn w:val="Standardstycketeckensnitt"/>
    <w:uiPriority w:val="22"/>
    <w:qFormat/>
    <w:rPr>
      <w:b/>
      <w:bCs/>
    </w:rPr>
  </w:style>
  <w:style w:type="character" w:styleId="Betoning">
    <w:name w:val="Emphasis"/>
    <w:basedOn w:val="Standardstycketeckensnitt"/>
    <w:uiPriority w:val="20"/>
    <w:qFormat/>
    <w:rPr>
      <w:i/>
      <w:iCs/>
    </w:rPr>
  </w:style>
  <w:style w:type="character" w:customStyle="1" w:styleId="SidhuvudChar">
    <w:name w:val="Sidhuvud Char"/>
    <w:basedOn w:val="Standardstycketeckensnitt"/>
    <w:link w:val="Sidhuvud"/>
    <w:uiPriority w:val="99"/>
    <w:qFormat/>
  </w:style>
  <w:style w:type="character" w:customStyle="1" w:styleId="SidfotChar">
    <w:name w:val="Sidfot Char"/>
    <w:basedOn w:val="Standardstycketeckensnitt"/>
    <w:link w:val="Sidfot"/>
    <w:uiPriority w:val="99"/>
    <w:qFormat/>
  </w:style>
  <w:style w:type="paragraph" w:styleId="Ingetavstnd">
    <w:name w:val="No Spacing"/>
    <w:uiPriority w:val="1"/>
    <w:qFormat/>
    <w:rPr>
      <w:sz w:val="22"/>
      <w:szCs w:val="22"/>
      <w:lang w:val="en-US" w:eastAsia="en-US"/>
    </w:rPr>
  </w:style>
  <w:style w:type="character" w:customStyle="1" w:styleId="Rubrik1Char">
    <w:name w:val="Rubrik 1 Char"/>
    <w:basedOn w:val="Standardstycketeckensnitt"/>
    <w:link w:val="Rubrik1"/>
    <w:uiPriority w:val="9"/>
    <w:qFormat/>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qFormat/>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qFormat/>
    <w:rPr>
      <w:rFonts w:asciiTheme="majorHAnsi" w:eastAsiaTheme="majorEastAsia" w:hAnsiTheme="majorHAnsi" w:cstheme="majorBidi"/>
      <w:b/>
      <w:bCs/>
      <w:color w:val="4F81BD" w:themeColor="accent1"/>
    </w:rPr>
  </w:style>
  <w:style w:type="character" w:customStyle="1" w:styleId="RubrikChar">
    <w:name w:val="Rubrik Char"/>
    <w:basedOn w:val="Standardstycketeckensnitt"/>
    <w:link w:val="Rubrik"/>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UnderrubrikChar">
    <w:name w:val="Underrubrik Char"/>
    <w:basedOn w:val="Standardstycketeckensnitt"/>
    <w:link w:val="Underrubrik"/>
    <w:uiPriority w:val="11"/>
    <w:qFormat/>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pPr>
      <w:ind w:left="720"/>
      <w:contextualSpacing/>
    </w:pPr>
  </w:style>
  <w:style w:type="character" w:customStyle="1" w:styleId="BrdtextChar">
    <w:name w:val="Brödtext Char"/>
    <w:basedOn w:val="Standardstycketeckensnitt"/>
    <w:link w:val="Brdtext"/>
    <w:uiPriority w:val="99"/>
    <w:qFormat/>
  </w:style>
  <w:style w:type="character" w:customStyle="1" w:styleId="Brdtext2Char">
    <w:name w:val="Brödtext 2 Char"/>
    <w:basedOn w:val="Standardstycketeckensnitt"/>
    <w:link w:val="Brdtext2"/>
    <w:uiPriority w:val="99"/>
    <w:qFormat/>
  </w:style>
  <w:style w:type="character" w:customStyle="1" w:styleId="Brdtext3Char">
    <w:name w:val="Brödtext 3 Char"/>
    <w:basedOn w:val="Standardstycketeckensnitt"/>
    <w:link w:val="Brdtext3"/>
    <w:uiPriority w:val="99"/>
    <w:qFormat/>
    <w:rPr>
      <w:sz w:val="16"/>
      <w:szCs w:val="16"/>
    </w:rPr>
  </w:style>
  <w:style w:type="character" w:customStyle="1" w:styleId="MakrotextChar">
    <w:name w:val="Makrotext Char"/>
    <w:basedOn w:val="Standardstycketeckensnitt"/>
    <w:link w:val="Makrotext"/>
    <w:uiPriority w:val="99"/>
    <w:qFormat/>
    <w:rPr>
      <w:rFonts w:ascii="Courier" w:hAnsi="Courier"/>
      <w:sz w:val="20"/>
      <w:szCs w:val="20"/>
    </w:rPr>
  </w:style>
  <w:style w:type="paragraph" w:styleId="Citat">
    <w:name w:val="Quote"/>
    <w:basedOn w:val="Normal"/>
    <w:next w:val="Normal"/>
    <w:link w:val="CitatChar"/>
    <w:uiPriority w:val="29"/>
    <w:qFormat/>
    <w:rPr>
      <w:i/>
      <w:iCs/>
      <w:color w:val="000000" w:themeColor="text1"/>
    </w:rPr>
  </w:style>
  <w:style w:type="character" w:customStyle="1" w:styleId="CitatChar">
    <w:name w:val="Citat Char"/>
    <w:basedOn w:val="Standardstycketeckensnitt"/>
    <w:link w:val="Citat"/>
    <w:uiPriority w:val="29"/>
    <w:qFormat/>
    <w:rPr>
      <w:i/>
      <w:iCs/>
      <w:color w:val="000000" w:themeColor="text1"/>
    </w:rPr>
  </w:style>
  <w:style w:type="character" w:customStyle="1" w:styleId="Rubrik4Char">
    <w:name w:val="Rubrik 4 Char"/>
    <w:basedOn w:val="Standardstycketeckensnitt"/>
    <w:link w:val="Rubrik4"/>
    <w:uiPriority w:val="9"/>
    <w:semiHidden/>
    <w:qFormat/>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qFormat/>
    <w:rPr>
      <w:rFonts w:asciiTheme="majorHAnsi" w:eastAsiaTheme="majorEastAsia" w:hAnsiTheme="majorHAnsi" w:cstheme="majorBidi"/>
      <w:color w:val="244061" w:themeColor="accent1" w:themeShade="80"/>
    </w:rPr>
  </w:style>
  <w:style w:type="character" w:customStyle="1" w:styleId="Rubrik6Char">
    <w:name w:val="Rubrik 6 Char"/>
    <w:basedOn w:val="Standardstycketeckensnitt"/>
    <w:link w:val="Rubrik6"/>
    <w:uiPriority w:val="9"/>
    <w:semiHidden/>
    <w:qFormat/>
    <w:rPr>
      <w:rFonts w:asciiTheme="majorHAnsi" w:eastAsiaTheme="majorEastAsia" w:hAnsiTheme="majorHAnsi" w:cstheme="majorBidi"/>
      <w:i/>
      <w:iCs/>
      <w:color w:val="244061" w:themeColor="accent1" w:themeShade="80"/>
    </w:rPr>
  </w:style>
  <w:style w:type="character" w:customStyle="1" w:styleId="Rubrik7Char">
    <w:name w:val="Rubrik 7 Char"/>
    <w:basedOn w:val="Standardstycketeckensnitt"/>
    <w:link w:val="Rubrik7"/>
    <w:uiPriority w:val="9"/>
    <w:semiHidden/>
    <w:qFormat/>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qFormat/>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qFormat/>
    <w:rPr>
      <w:rFonts w:asciiTheme="majorHAnsi" w:eastAsiaTheme="majorEastAsia" w:hAnsiTheme="majorHAnsi" w:cstheme="majorBidi"/>
      <w:i/>
      <w:iCs/>
      <w:color w:val="404040" w:themeColor="text1" w:themeTint="BF"/>
      <w:sz w:val="20"/>
      <w:szCs w:val="20"/>
    </w:rPr>
  </w:style>
  <w:style w:type="paragraph" w:styleId="Starktcitat">
    <w:name w:val="Intense Quote"/>
    <w:basedOn w:val="Normal"/>
    <w:next w:val="Normal"/>
    <w:link w:val="Starktcita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qFormat/>
    <w:rPr>
      <w:b/>
      <w:bCs/>
      <w:i/>
      <w:iCs/>
      <w:color w:val="4F81BD" w:themeColor="accent1"/>
    </w:rPr>
  </w:style>
  <w:style w:type="character" w:customStyle="1" w:styleId="Diskretbetoning1">
    <w:name w:val="Diskret betoning1"/>
    <w:basedOn w:val="Standardstycketeckensnitt"/>
    <w:uiPriority w:val="19"/>
    <w:qFormat/>
    <w:rPr>
      <w:i/>
      <w:iCs/>
      <w:color w:val="7F7F7F" w:themeColor="text1" w:themeTint="80"/>
    </w:rPr>
  </w:style>
  <w:style w:type="character" w:customStyle="1" w:styleId="Starkbetoning1">
    <w:name w:val="Stark betoning1"/>
    <w:basedOn w:val="Standardstycketeckensnitt"/>
    <w:uiPriority w:val="21"/>
    <w:qFormat/>
    <w:rPr>
      <w:b/>
      <w:bCs/>
      <w:i/>
      <w:iCs/>
      <w:color w:val="4F81BD" w:themeColor="accent1"/>
    </w:rPr>
  </w:style>
  <w:style w:type="character" w:customStyle="1" w:styleId="Diskretreferens1">
    <w:name w:val="Diskret referens1"/>
    <w:basedOn w:val="Standardstycketeckensnitt"/>
    <w:uiPriority w:val="31"/>
    <w:qFormat/>
    <w:rPr>
      <w:smallCaps/>
      <w:color w:val="C0504D" w:themeColor="accent2"/>
      <w:u w:val="single"/>
    </w:rPr>
  </w:style>
  <w:style w:type="character" w:customStyle="1" w:styleId="Starkreferens1">
    <w:name w:val="Stark referens1"/>
    <w:basedOn w:val="Standardstycketeckensnitt"/>
    <w:uiPriority w:val="32"/>
    <w:qFormat/>
    <w:rPr>
      <w:b/>
      <w:bCs/>
      <w:smallCaps/>
      <w:color w:val="C0504D" w:themeColor="accent2"/>
      <w:spacing w:val="5"/>
      <w:u w:val="single"/>
    </w:rPr>
  </w:style>
  <w:style w:type="character" w:customStyle="1" w:styleId="Bokenstitel1">
    <w:name w:val="Bokens titel1"/>
    <w:basedOn w:val="Standardstycketeckensnitt"/>
    <w:uiPriority w:val="33"/>
    <w:qFormat/>
    <w:rPr>
      <w:b/>
      <w:bCs/>
      <w:smallCaps/>
      <w:spacing w:val="5"/>
    </w:rPr>
  </w:style>
  <w:style w:type="paragraph" w:customStyle="1" w:styleId="Innehllsfrteckningsrubrik1">
    <w:name w:val="Innehållsförteckningsrubrik1"/>
    <w:basedOn w:val="Rubrik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4186</Characters>
  <Application>Microsoft Office Word</Application>
  <DocSecurity>0</DocSecurity>
  <Lines>34</Lines>
  <Paragraphs>9</Paragraphs>
  <ScaleCrop>false</ScaleCrop>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Veronica Svärd</cp:lastModifiedBy>
  <cp:revision>2</cp:revision>
  <dcterms:created xsi:type="dcterms:W3CDTF">2026-10-22T17:13:00Z</dcterms:created>
  <dcterms:modified xsi:type="dcterms:W3CDTF">2026-10-22T17:13:00Z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eyJoZGlkIjoiMTI2MjMwODRjNGRhZGNiMDE0OTZlMDJmZjY1ZWMzZjUiLCJ1c2VySWQiOiIyNjA5NTQzMjQifQ==</vt:lpwstr>
  </property>
  <property fmtid="{D5CDD505-2E9C-101B-9397-08002B2CF9AE}" pid="3" name="KSOProductBuildVer">
    <vt:lpwstr>2052-12.1.0.28505</vt:lpwstr>
  </property>
  <property fmtid="{D5CDD505-2E9C-101B-9397-08002B2CF9AE}" pid="4" name="ICV">
    <vt:lpwstr>7370597613C14CB2ABE730BAFAA97A88_12</vt:lpwstr>
  </property>
</Properties>
</file>