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B6" w:rsidRDefault="0080748E" w:rsidP="0080748E">
      <w:pPr>
        <w:pStyle w:val="Default"/>
        <w:ind w:left="-709"/>
        <w:rPr>
          <w:snapToGrid w:val="0"/>
          <w:lang w:val="en-GB"/>
        </w:rPr>
      </w:pPr>
      <w:proofErr w:type="gramStart"/>
      <w:r w:rsidRPr="00F151B7">
        <w:rPr>
          <w:b/>
          <w:snapToGrid w:val="0"/>
          <w:lang w:val="en-GB"/>
        </w:rPr>
        <w:t>Appendix 4.</w:t>
      </w:r>
      <w:proofErr w:type="gramEnd"/>
      <w:r>
        <w:rPr>
          <w:snapToGrid w:val="0"/>
          <w:lang w:val="en-GB"/>
        </w:rPr>
        <w:t xml:space="preserve"> </w:t>
      </w:r>
      <w:r w:rsidR="00780BB6" w:rsidRPr="00DB3A4A">
        <w:rPr>
          <w:snapToGrid w:val="0"/>
          <w:lang w:val="en-GB"/>
        </w:rPr>
        <w:t xml:space="preserve">Evidence table for </w:t>
      </w:r>
      <w:r>
        <w:rPr>
          <w:snapToGrid w:val="0"/>
          <w:lang w:val="en-GB"/>
        </w:rPr>
        <w:t xml:space="preserve">protein intake and </w:t>
      </w:r>
      <w:r w:rsidR="00780BB6" w:rsidRPr="00DB3A4A">
        <w:rPr>
          <w:snapToGrid w:val="0"/>
          <w:lang w:val="en-GB"/>
        </w:rPr>
        <w:t xml:space="preserve">outcome </w:t>
      </w:r>
      <w:r w:rsidRPr="00DB3A4A">
        <w:rPr>
          <w:snapToGrid w:val="0"/>
          <w:lang w:val="en-GB"/>
        </w:rPr>
        <w:t>bone health</w:t>
      </w:r>
      <w:r>
        <w:rPr>
          <w:snapToGrid w:val="0"/>
          <w:lang w:val="en-GB"/>
        </w:rPr>
        <w:t xml:space="preserve"> (</w:t>
      </w:r>
      <w:r w:rsidR="002D708C">
        <w:rPr>
          <w:snapToGrid w:val="0"/>
          <w:lang w:val="en-GB"/>
        </w:rPr>
        <w:t xml:space="preserve">1 </w:t>
      </w:r>
      <w:r w:rsidR="00F151B7">
        <w:rPr>
          <w:snapToGrid w:val="0"/>
          <w:lang w:val="en-GB"/>
        </w:rPr>
        <w:t>clinical trial</w:t>
      </w:r>
      <w:r w:rsidR="002D708C">
        <w:rPr>
          <w:snapToGrid w:val="0"/>
          <w:lang w:val="en-GB"/>
        </w:rPr>
        <w:t xml:space="preserve">, </w:t>
      </w:r>
      <w:r w:rsidR="007B23A1">
        <w:rPr>
          <w:snapToGrid w:val="0"/>
          <w:lang w:val="en-GB"/>
        </w:rPr>
        <w:t>2</w:t>
      </w:r>
      <w:r w:rsidR="002D708C">
        <w:rPr>
          <w:snapToGrid w:val="0"/>
          <w:lang w:val="en-GB"/>
        </w:rPr>
        <w:t xml:space="preserve"> </w:t>
      </w:r>
      <w:proofErr w:type="gramStart"/>
      <w:r w:rsidR="002D708C">
        <w:rPr>
          <w:snapToGrid w:val="0"/>
          <w:lang w:val="en-GB"/>
        </w:rPr>
        <w:t>cohort</w:t>
      </w:r>
      <w:proofErr w:type="gramEnd"/>
      <w:r w:rsidR="002D708C">
        <w:rPr>
          <w:snapToGrid w:val="0"/>
          <w:lang w:val="en-GB"/>
        </w:rPr>
        <w:t xml:space="preserve">, </w:t>
      </w:r>
      <w:r w:rsidR="00AF0B2D">
        <w:rPr>
          <w:snapToGrid w:val="0"/>
          <w:lang w:val="en-GB"/>
        </w:rPr>
        <w:t>4</w:t>
      </w:r>
      <w:r w:rsidR="002D708C">
        <w:rPr>
          <w:snapToGrid w:val="0"/>
          <w:lang w:val="en-GB"/>
        </w:rPr>
        <w:t xml:space="preserve"> </w:t>
      </w:r>
      <w:r w:rsidR="00AF0B2D">
        <w:rPr>
          <w:snapToGrid w:val="0"/>
          <w:lang w:val="en-GB"/>
        </w:rPr>
        <w:t>cross-sectional studies)</w:t>
      </w:r>
    </w:p>
    <w:tbl>
      <w:tblPr>
        <w:tblpPr w:leftFromText="141" w:rightFromText="141" w:vertAnchor="page" w:horzAnchor="margin" w:tblpXSpec="center" w:tblpY="2053"/>
        <w:tblW w:w="15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676"/>
        <w:gridCol w:w="1537"/>
        <w:gridCol w:w="1342"/>
        <w:gridCol w:w="1256"/>
        <w:gridCol w:w="1316"/>
        <w:gridCol w:w="1074"/>
        <w:gridCol w:w="1498"/>
        <w:gridCol w:w="1179"/>
        <w:gridCol w:w="1526"/>
        <w:gridCol w:w="1418"/>
        <w:gridCol w:w="1016"/>
      </w:tblGrid>
      <w:tr w:rsidR="00F151B7" w:rsidRPr="00BE4911" w:rsidTr="00F151B7">
        <w:trPr>
          <w:trHeight w:val="3680"/>
        </w:trPr>
        <w:tc>
          <w:tcPr>
            <w:tcW w:w="1089" w:type="dxa"/>
          </w:tcPr>
          <w:p w:rsidR="00836A18" w:rsidRDefault="00836A18" w:rsidP="00836A18">
            <w:pPr>
              <w:pStyle w:val="Default"/>
              <w:rPr>
                <w:b/>
                <w:sz w:val="20"/>
                <w:lang w:val="en-US"/>
              </w:rPr>
            </w:pPr>
            <w:r>
              <w:rPr>
                <w:b/>
                <w:sz w:val="20"/>
                <w:lang w:val="en-US"/>
              </w:rPr>
              <w:t>Author</w:t>
            </w:r>
            <w:r>
              <w:rPr>
                <w:b/>
                <w:sz w:val="20"/>
                <w:lang w:val="en-US"/>
              </w:rPr>
              <w:br/>
              <w:t>(</w:t>
            </w:r>
            <w:r>
              <w:rPr>
                <w:b/>
                <w:sz w:val="18"/>
                <w:lang w:val="en-US"/>
              </w:rPr>
              <w:t>alphabetical order</w:t>
            </w:r>
            <w:r>
              <w:rPr>
                <w:b/>
                <w:sz w:val="20"/>
                <w:lang w:val="en-US"/>
              </w:rPr>
              <w:t>), year (ref.nr)</w:t>
            </w:r>
          </w:p>
          <w:p w:rsidR="00836A18" w:rsidRDefault="00836A18" w:rsidP="00836A18">
            <w:pPr>
              <w:pStyle w:val="Default"/>
              <w:rPr>
                <w:b/>
                <w:snapToGrid w:val="0"/>
                <w:sz w:val="20"/>
                <w:szCs w:val="20"/>
                <w:lang w:val="en-GB"/>
              </w:rPr>
            </w:pPr>
            <w:r>
              <w:rPr>
                <w:b/>
                <w:snapToGrid w:val="0"/>
                <w:sz w:val="20"/>
                <w:szCs w:val="20"/>
                <w:lang w:val="en-GB"/>
              </w:rPr>
              <w:t>Country</w:t>
            </w:r>
          </w:p>
          <w:p w:rsidR="00836A18" w:rsidRDefault="00836A18" w:rsidP="00836A18">
            <w:pPr>
              <w:pStyle w:val="Default"/>
              <w:rPr>
                <w:b/>
                <w:snapToGrid w:val="0"/>
                <w:sz w:val="20"/>
                <w:szCs w:val="20"/>
                <w:lang w:val="en-GB"/>
              </w:rPr>
            </w:pPr>
            <w:r>
              <w:rPr>
                <w:b/>
                <w:snapToGrid w:val="0"/>
                <w:sz w:val="20"/>
                <w:szCs w:val="20"/>
                <w:lang w:val="en-GB"/>
              </w:rPr>
              <w:t xml:space="preserve">Study design </w:t>
            </w:r>
          </w:p>
          <w:p w:rsidR="00F151B7" w:rsidRPr="00DB3A4A" w:rsidRDefault="00836A18" w:rsidP="00836A18">
            <w:pPr>
              <w:pStyle w:val="Default"/>
              <w:rPr>
                <w:b/>
                <w:snapToGrid w:val="0"/>
                <w:sz w:val="20"/>
                <w:szCs w:val="20"/>
                <w:lang w:val="en-GB"/>
              </w:rPr>
            </w:pPr>
            <w:r>
              <w:rPr>
                <w:snapToGrid w:val="0"/>
                <w:sz w:val="20"/>
                <w:szCs w:val="20"/>
                <w:lang w:val="en-GB"/>
              </w:rPr>
              <w:t>(RCT, CT, cohort, case control etc.)</w:t>
            </w:r>
          </w:p>
        </w:tc>
        <w:tc>
          <w:tcPr>
            <w:tcW w:w="1676"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 xml:space="preserve">Population, </w:t>
            </w:r>
          </w:p>
          <w:p w:rsidR="00F151B7" w:rsidRPr="00DB3A4A" w:rsidRDefault="00F151B7" w:rsidP="00F151B7">
            <w:pPr>
              <w:pStyle w:val="Default"/>
              <w:rPr>
                <w:snapToGrid w:val="0"/>
                <w:sz w:val="20"/>
                <w:szCs w:val="20"/>
                <w:lang w:val="en-GB"/>
              </w:rPr>
            </w:pPr>
            <w:r w:rsidRPr="00DB3A4A">
              <w:rPr>
                <w:b/>
                <w:snapToGrid w:val="0"/>
                <w:sz w:val="20"/>
                <w:szCs w:val="20"/>
                <w:lang w:val="en-GB"/>
              </w:rPr>
              <w:t xml:space="preserve">subject characteristics, </w:t>
            </w:r>
            <w:r w:rsidRPr="00DB3A4A">
              <w:rPr>
                <w:snapToGrid w:val="0"/>
                <w:sz w:val="20"/>
                <w:szCs w:val="20"/>
                <w:lang w:val="en-GB"/>
              </w:rPr>
              <w:t xml:space="preserve">Inclusion/exclusion criteria </w:t>
            </w:r>
          </w:p>
          <w:p w:rsidR="00F151B7" w:rsidRPr="00DB3A4A" w:rsidRDefault="00F151B7" w:rsidP="00F151B7">
            <w:pPr>
              <w:pStyle w:val="Default"/>
              <w:rPr>
                <w:snapToGrid w:val="0"/>
                <w:sz w:val="20"/>
                <w:szCs w:val="20"/>
                <w:lang w:val="en-GB"/>
              </w:rPr>
            </w:pPr>
            <w:r w:rsidRPr="00DB3A4A">
              <w:rPr>
                <w:snapToGrid w:val="0"/>
                <w:sz w:val="20"/>
                <w:szCs w:val="20"/>
                <w:lang w:val="en-GB"/>
              </w:rPr>
              <w:t xml:space="preserve">Setting, </w:t>
            </w:r>
          </w:p>
          <w:p w:rsidR="00F151B7" w:rsidRPr="00DB3A4A" w:rsidRDefault="00F151B7" w:rsidP="00F151B7">
            <w:pPr>
              <w:pStyle w:val="Default"/>
              <w:rPr>
                <w:snapToGrid w:val="0"/>
                <w:sz w:val="20"/>
                <w:szCs w:val="20"/>
                <w:lang w:val="en-GB"/>
              </w:rPr>
            </w:pPr>
            <w:r w:rsidRPr="00DB3A4A">
              <w:rPr>
                <w:snapToGrid w:val="0"/>
                <w:sz w:val="20"/>
                <w:szCs w:val="20"/>
                <w:lang w:val="en-GB"/>
              </w:rPr>
              <w:t>No at baseline, Male/Female, Age, Ethnicity of the subjects, Anthropometry, Location</w:t>
            </w:r>
          </w:p>
        </w:tc>
        <w:tc>
          <w:tcPr>
            <w:tcW w:w="1537"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Outcome measures</w:t>
            </w:r>
          </w:p>
          <w:p w:rsidR="00F151B7" w:rsidRPr="00DB3A4A" w:rsidRDefault="00F151B7" w:rsidP="00F151B7">
            <w:pPr>
              <w:pStyle w:val="Default"/>
              <w:rPr>
                <w:snapToGrid w:val="0"/>
                <w:sz w:val="20"/>
                <w:szCs w:val="20"/>
                <w:lang w:val="en-GB"/>
              </w:rPr>
            </w:pPr>
          </w:p>
          <w:p w:rsidR="00F151B7" w:rsidRPr="00DB3A4A" w:rsidRDefault="00F151B7" w:rsidP="00F151B7">
            <w:pPr>
              <w:pStyle w:val="Default"/>
              <w:rPr>
                <w:snapToGrid w:val="0"/>
                <w:sz w:val="20"/>
                <w:szCs w:val="20"/>
                <w:lang w:val="en-GB"/>
              </w:rPr>
            </w:pPr>
            <w:r w:rsidRPr="00DB3A4A">
              <w:rPr>
                <w:snapToGrid w:val="0"/>
                <w:sz w:val="20"/>
                <w:szCs w:val="20"/>
                <w:lang w:val="en-GB"/>
              </w:rPr>
              <w:t>Disease, biological measures</w:t>
            </w:r>
          </w:p>
          <w:p w:rsidR="00F151B7" w:rsidRPr="00DB3A4A" w:rsidRDefault="00F151B7" w:rsidP="00F151B7">
            <w:pPr>
              <w:pStyle w:val="Default"/>
              <w:rPr>
                <w:snapToGrid w:val="0"/>
                <w:color w:val="FF0000"/>
                <w:sz w:val="20"/>
                <w:szCs w:val="20"/>
                <w:lang w:val="en-GB"/>
              </w:rPr>
            </w:pPr>
          </w:p>
        </w:tc>
        <w:tc>
          <w:tcPr>
            <w:tcW w:w="1342"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Intervention/exposure</w:t>
            </w:r>
          </w:p>
        </w:tc>
        <w:tc>
          <w:tcPr>
            <w:tcW w:w="1256"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Time between baseline exposure and outcome assessment</w:t>
            </w:r>
          </w:p>
        </w:tc>
        <w:tc>
          <w:tcPr>
            <w:tcW w:w="1316"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Dietary assessment method</w:t>
            </w:r>
          </w:p>
          <w:p w:rsidR="00F151B7" w:rsidRPr="00DB3A4A" w:rsidRDefault="00F151B7" w:rsidP="00F151B7">
            <w:pPr>
              <w:pStyle w:val="Default"/>
              <w:rPr>
                <w:snapToGrid w:val="0"/>
                <w:sz w:val="20"/>
                <w:szCs w:val="20"/>
                <w:lang w:val="en-GB"/>
              </w:rPr>
            </w:pPr>
          </w:p>
          <w:p w:rsidR="00F151B7" w:rsidRPr="00DB3A4A" w:rsidRDefault="00F151B7" w:rsidP="00F151B7">
            <w:pPr>
              <w:pStyle w:val="Default"/>
              <w:rPr>
                <w:snapToGrid w:val="0"/>
                <w:sz w:val="20"/>
                <w:szCs w:val="20"/>
                <w:lang w:val="en-GB"/>
              </w:rPr>
            </w:pPr>
            <w:r w:rsidRPr="00DB3A4A">
              <w:rPr>
                <w:snapToGrid w:val="0"/>
                <w:sz w:val="20"/>
                <w:szCs w:val="20"/>
                <w:lang w:val="en-GB"/>
              </w:rPr>
              <w:t>FFQ, food record</w:t>
            </w:r>
          </w:p>
          <w:p w:rsidR="00F151B7" w:rsidRPr="00DB3A4A" w:rsidRDefault="00F151B7" w:rsidP="00F151B7">
            <w:pPr>
              <w:pStyle w:val="Default"/>
              <w:rPr>
                <w:snapToGrid w:val="0"/>
                <w:sz w:val="20"/>
                <w:szCs w:val="20"/>
                <w:lang w:val="en-GB"/>
              </w:rPr>
            </w:pPr>
          </w:p>
          <w:p w:rsidR="00F151B7" w:rsidRPr="00DB3A4A" w:rsidRDefault="00F151B7" w:rsidP="00F151B7">
            <w:pPr>
              <w:pStyle w:val="Default"/>
              <w:rPr>
                <w:snapToGrid w:val="0"/>
                <w:sz w:val="20"/>
                <w:szCs w:val="20"/>
                <w:lang w:val="en-GB"/>
              </w:rPr>
            </w:pPr>
            <w:r w:rsidRPr="00DB3A4A">
              <w:rPr>
                <w:b/>
                <w:snapToGrid w:val="0"/>
                <w:sz w:val="20"/>
                <w:szCs w:val="20"/>
                <w:lang w:val="en-GB"/>
              </w:rPr>
              <w:t>Internal validation</w:t>
            </w:r>
            <w:r w:rsidRPr="00DB3A4A">
              <w:rPr>
                <w:snapToGrid w:val="0"/>
                <w:sz w:val="20"/>
                <w:szCs w:val="20"/>
                <w:lang w:val="en-GB"/>
              </w:rPr>
              <w:t xml:space="preserve"> y/n</w:t>
            </w:r>
          </w:p>
          <w:p w:rsidR="00F151B7" w:rsidRPr="00DB3A4A" w:rsidRDefault="00F151B7" w:rsidP="00F151B7">
            <w:pPr>
              <w:pStyle w:val="Default"/>
              <w:rPr>
                <w:snapToGrid w:val="0"/>
                <w:color w:val="FF0000"/>
                <w:sz w:val="20"/>
                <w:szCs w:val="20"/>
                <w:lang w:val="en-GB"/>
              </w:rPr>
            </w:pPr>
          </w:p>
          <w:p w:rsidR="00F151B7" w:rsidRPr="00DB3A4A" w:rsidRDefault="00F151B7" w:rsidP="00F151B7">
            <w:pPr>
              <w:pStyle w:val="Default"/>
              <w:rPr>
                <w:snapToGrid w:val="0"/>
                <w:color w:val="FF0000"/>
                <w:sz w:val="20"/>
                <w:szCs w:val="20"/>
                <w:lang w:val="en-GB"/>
              </w:rPr>
            </w:pPr>
            <w:r w:rsidRPr="00DB3A4A">
              <w:rPr>
                <w:snapToGrid w:val="0"/>
                <w:color w:val="FF0000"/>
                <w:sz w:val="20"/>
                <w:szCs w:val="20"/>
                <w:lang w:val="en-GB"/>
              </w:rPr>
              <w:t xml:space="preserve">see separate table </w:t>
            </w:r>
            <w:r w:rsidR="00AD3321">
              <w:rPr>
                <w:snapToGrid w:val="0"/>
                <w:color w:val="FF0000"/>
                <w:sz w:val="20"/>
                <w:szCs w:val="20"/>
                <w:lang w:val="en-GB"/>
              </w:rPr>
              <w:t xml:space="preserve">below </w:t>
            </w:r>
            <w:r w:rsidRPr="00DB3A4A">
              <w:rPr>
                <w:snapToGrid w:val="0"/>
                <w:color w:val="FF0000"/>
                <w:sz w:val="20"/>
                <w:szCs w:val="20"/>
                <w:lang w:val="en-GB"/>
              </w:rPr>
              <w:t>for more details</w:t>
            </w:r>
          </w:p>
        </w:tc>
        <w:tc>
          <w:tcPr>
            <w:tcW w:w="1074"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No of subjects analysed</w:t>
            </w:r>
          </w:p>
        </w:tc>
        <w:tc>
          <w:tcPr>
            <w:tcW w:w="1498" w:type="dxa"/>
          </w:tcPr>
          <w:p w:rsidR="00F151B7" w:rsidRPr="00DB3A4A" w:rsidRDefault="00F151B7" w:rsidP="00F151B7">
            <w:pPr>
              <w:pStyle w:val="Default"/>
              <w:rPr>
                <w:b/>
                <w:snapToGrid w:val="0"/>
                <w:sz w:val="20"/>
                <w:szCs w:val="20"/>
                <w:lang w:val="fr-FR"/>
              </w:rPr>
            </w:pPr>
            <w:r w:rsidRPr="00DB3A4A">
              <w:rPr>
                <w:b/>
                <w:snapToGrid w:val="0"/>
                <w:sz w:val="20"/>
                <w:szCs w:val="20"/>
                <w:lang w:val="fr-FR"/>
              </w:rPr>
              <w:t>Intervention</w:t>
            </w:r>
          </w:p>
          <w:p w:rsidR="00F151B7" w:rsidRPr="00DB3A4A" w:rsidRDefault="00F151B7" w:rsidP="00F151B7">
            <w:pPr>
              <w:pStyle w:val="Default"/>
              <w:rPr>
                <w:snapToGrid w:val="0"/>
                <w:sz w:val="20"/>
                <w:szCs w:val="20"/>
                <w:lang w:val="fr-FR"/>
              </w:rPr>
            </w:pPr>
            <w:r w:rsidRPr="00DB3A4A">
              <w:rPr>
                <w:snapToGrid w:val="0"/>
                <w:sz w:val="20"/>
                <w:szCs w:val="20"/>
                <w:lang w:val="fr-FR"/>
              </w:rPr>
              <w:t>Intervention (I)</w:t>
            </w:r>
          </w:p>
          <w:p w:rsidR="00F151B7" w:rsidRPr="00DB3A4A" w:rsidRDefault="00F151B7" w:rsidP="00F151B7">
            <w:pPr>
              <w:pStyle w:val="Default"/>
              <w:rPr>
                <w:snapToGrid w:val="0"/>
                <w:sz w:val="20"/>
                <w:szCs w:val="20"/>
                <w:lang w:val="fr-FR"/>
              </w:rPr>
            </w:pPr>
            <w:r w:rsidRPr="00DB3A4A">
              <w:rPr>
                <w:snapToGrid w:val="0"/>
                <w:sz w:val="20"/>
                <w:szCs w:val="20"/>
                <w:lang w:val="fr-FR"/>
              </w:rPr>
              <w:t>(dose interval, duration)</w:t>
            </w:r>
          </w:p>
          <w:p w:rsidR="00F151B7" w:rsidRPr="00DB3A4A" w:rsidRDefault="00F151B7" w:rsidP="00F151B7">
            <w:pPr>
              <w:pStyle w:val="Default"/>
              <w:rPr>
                <w:snapToGrid w:val="0"/>
                <w:sz w:val="20"/>
                <w:szCs w:val="20"/>
                <w:lang w:val="en-GB"/>
              </w:rPr>
            </w:pPr>
            <w:r w:rsidRPr="00DB3A4A">
              <w:rPr>
                <w:snapToGrid w:val="0"/>
                <w:sz w:val="20"/>
                <w:szCs w:val="20"/>
                <w:lang w:val="en-GB"/>
              </w:rPr>
              <w:t xml:space="preserve">Control (C) (active, placebo, usual care </w:t>
            </w:r>
            <w:proofErr w:type="spellStart"/>
            <w:r w:rsidRPr="00DB3A4A">
              <w:rPr>
                <w:snapToGrid w:val="0"/>
                <w:sz w:val="20"/>
                <w:szCs w:val="20"/>
                <w:lang w:val="en-GB"/>
              </w:rPr>
              <w:t>etc</w:t>
            </w:r>
            <w:proofErr w:type="spellEnd"/>
            <w:r w:rsidRPr="00DB3A4A">
              <w:rPr>
                <w:snapToGrid w:val="0"/>
                <w:sz w:val="20"/>
                <w:szCs w:val="20"/>
                <w:lang w:val="en-GB"/>
              </w:rPr>
              <w:t>), compliance, achieved dietary change, adherence to dietary targets, actual dietary change</w:t>
            </w:r>
          </w:p>
        </w:tc>
        <w:tc>
          <w:tcPr>
            <w:tcW w:w="1179" w:type="dxa"/>
          </w:tcPr>
          <w:p w:rsidR="00F151B7" w:rsidRPr="00DB3A4A" w:rsidRDefault="00F151B7" w:rsidP="00F151B7">
            <w:pPr>
              <w:pStyle w:val="Default"/>
              <w:rPr>
                <w:snapToGrid w:val="0"/>
                <w:sz w:val="20"/>
                <w:szCs w:val="20"/>
                <w:lang w:val="en-GB"/>
              </w:rPr>
            </w:pPr>
            <w:r w:rsidRPr="00DB3A4A">
              <w:rPr>
                <w:b/>
                <w:snapToGrid w:val="0"/>
                <w:sz w:val="20"/>
                <w:szCs w:val="20"/>
                <w:lang w:val="en-GB"/>
              </w:rPr>
              <w:t>Follow- up period, drop-out rate</w:t>
            </w:r>
          </w:p>
          <w:p w:rsidR="00F151B7" w:rsidRPr="00DB3A4A" w:rsidRDefault="00F151B7" w:rsidP="00F151B7">
            <w:pPr>
              <w:pStyle w:val="Default"/>
              <w:rPr>
                <w:snapToGrid w:val="0"/>
                <w:sz w:val="20"/>
                <w:szCs w:val="20"/>
                <w:lang w:val="en-GB"/>
              </w:rPr>
            </w:pPr>
            <w:r w:rsidRPr="00DB3A4A">
              <w:rPr>
                <w:snapToGrid w:val="0"/>
                <w:sz w:val="20"/>
                <w:szCs w:val="20"/>
                <w:lang w:val="en-GB"/>
              </w:rPr>
              <w:t>(from baseline to follow-up, or from end of intervention to follow-up)</w:t>
            </w:r>
          </w:p>
          <w:p w:rsidR="00F151B7" w:rsidRPr="00DB3A4A" w:rsidRDefault="00F151B7" w:rsidP="00F151B7">
            <w:pPr>
              <w:pStyle w:val="Default"/>
              <w:rPr>
                <w:snapToGrid w:val="0"/>
                <w:sz w:val="20"/>
                <w:szCs w:val="20"/>
                <w:lang w:val="en-GB"/>
              </w:rPr>
            </w:pPr>
            <w:r w:rsidRPr="00DB3A4A">
              <w:rPr>
                <w:snapToGrid w:val="0"/>
                <w:sz w:val="20"/>
                <w:szCs w:val="20"/>
                <w:lang w:val="en-GB"/>
              </w:rPr>
              <w:t>Drop out (%)</w:t>
            </w:r>
          </w:p>
        </w:tc>
        <w:tc>
          <w:tcPr>
            <w:tcW w:w="1526"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Results</w:t>
            </w:r>
          </w:p>
          <w:p w:rsidR="00F151B7" w:rsidRPr="00DB3A4A" w:rsidRDefault="00F151B7" w:rsidP="00F151B7">
            <w:pPr>
              <w:pStyle w:val="Default"/>
              <w:rPr>
                <w:snapToGrid w:val="0"/>
                <w:sz w:val="20"/>
                <w:szCs w:val="20"/>
                <w:lang w:val="en-GB"/>
              </w:rPr>
            </w:pPr>
            <w:r w:rsidRPr="00DB3A4A">
              <w:rPr>
                <w:snapToGrid w:val="0"/>
                <w:sz w:val="20"/>
                <w:szCs w:val="20"/>
                <w:lang w:val="en-GB"/>
              </w:rPr>
              <w:t>Results (I, C)</w:t>
            </w:r>
          </w:p>
          <w:p w:rsidR="00F151B7" w:rsidRPr="00DB3A4A" w:rsidRDefault="00F151B7" w:rsidP="00F151B7">
            <w:pPr>
              <w:pStyle w:val="Default"/>
              <w:rPr>
                <w:snapToGrid w:val="0"/>
                <w:sz w:val="20"/>
                <w:szCs w:val="20"/>
                <w:lang w:val="en-GB"/>
              </w:rPr>
            </w:pPr>
            <w:r w:rsidRPr="00DB3A4A">
              <w:rPr>
                <w:snapToGrid w:val="0"/>
                <w:sz w:val="20"/>
                <w:szCs w:val="20"/>
                <w:lang w:val="en-GB"/>
              </w:rPr>
              <w:t xml:space="preserve">(Absolute difference, RR, OR, p-value, confidence interval, sensitivity, specificity, observer reliability?, </w:t>
            </w:r>
            <w:proofErr w:type="spellStart"/>
            <w:r w:rsidRPr="00DB3A4A">
              <w:rPr>
                <w:snapToGrid w:val="0"/>
                <w:sz w:val="20"/>
                <w:szCs w:val="20"/>
                <w:lang w:val="en-GB"/>
              </w:rPr>
              <w:t>etc</w:t>
            </w:r>
            <w:proofErr w:type="spellEnd"/>
            <w:r w:rsidRPr="00DB3A4A">
              <w:rPr>
                <w:snapToGrid w:val="0"/>
                <w:sz w:val="20"/>
                <w:szCs w:val="20"/>
                <w:lang w:val="en-GB"/>
              </w:rPr>
              <w:t>)</w:t>
            </w:r>
          </w:p>
        </w:tc>
        <w:tc>
          <w:tcPr>
            <w:tcW w:w="1418" w:type="dxa"/>
          </w:tcPr>
          <w:p w:rsidR="00F151B7" w:rsidRPr="00DB3A4A" w:rsidRDefault="00F151B7" w:rsidP="00F151B7">
            <w:pPr>
              <w:pStyle w:val="Default"/>
              <w:rPr>
                <w:b/>
                <w:snapToGrid w:val="0"/>
                <w:sz w:val="20"/>
                <w:szCs w:val="20"/>
                <w:lang w:val="en-GB"/>
              </w:rPr>
            </w:pPr>
            <w:r>
              <w:rPr>
                <w:b/>
                <w:snapToGrid w:val="0"/>
                <w:sz w:val="20"/>
                <w:szCs w:val="20"/>
                <w:lang w:val="en-GB"/>
              </w:rPr>
              <w:t>Confoun</w:t>
            </w:r>
            <w:r w:rsidRPr="00DB3A4A">
              <w:rPr>
                <w:b/>
                <w:snapToGrid w:val="0"/>
                <w:sz w:val="20"/>
                <w:szCs w:val="20"/>
                <w:lang w:val="en-GB"/>
              </w:rPr>
              <w:t>ders adjusted for</w:t>
            </w:r>
          </w:p>
        </w:tc>
        <w:tc>
          <w:tcPr>
            <w:tcW w:w="1016" w:type="dxa"/>
          </w:tcPr>
          <w:p w:rsidR="00F151B7" w:rsidRPr="00DB3A4A" w:rsidRDefault="00F151B7" w:rsidP="00F151B7">
            <w:pPr>
              <w:pStyle w:val="Default"/>
              <w:rPr>
                <w:b/>
                <w:snapToGrid w:val="0"/>
                <w:sz w:val="20"/>
                <w:szCs w:val="20"/>
                <w:lang w:val="en-GB"/>
              </w:rPr>
            </w:pPr>
            <w:r w:rsidRPr="00DB3A4A">
              <w:rPr>
                <w:b/>
                <w:snapToGrid w:val="0"/>
                <w:sz w:val="20"/>
                <w:szCs w:val="20"/>
                <w:lang w:val="en-GB"/>
              </w:rPr>
              <w:t>Study quality and relevance, Comments</w:t>
            </w:r>
          </w:p>
          <w:p w:rsidR="00F151B7" w:rsidRPr="00DB3A4A" w:rsidRDefault="00F151B7" w:rsidP="00F151B7">
            <w:pPr>
              <w:pStyle w:val="Default"/>
              <w:rPr>
                <w:snapToGrid w:val="0"/>
                <w:sz w:val="20"/>
                <w:szCs w:val="20"/>
                <w:lang w:val="en-GB"/>
              </w:rPr>
            </w:pPr>
            <w:r w:rsidRPr="00DB3A4A">
              <w:rPr>
                <w:snapToGrid w:val="0"/>
                <w:sz w:val="20"/>
                <w:szCs w:val="20"/>
                <w:lang w:val="en-GB"/>
              </w:rPr>
              <w:t>A-C</w:t>
            </w:r>
          </w:p>
        </w:tc>
      </w:tr>
      <w:tr w:rsidR="00F151B7" w:rsidRPr="00BE4911" w:rsidTr="00F151B7">
        <w:trPr>
          <w:trHeight w:val="522"/>
        </w:trPr>
        <w:tc>
          <w:tcPr>
            <w:tcW w:w="1089" w:type="dxa"/>
          </w:tcPr>
          <w:p w:rsidR="00836A18" w:rsidRDefault="00F151B7" w:rsidP="00F151B7">
            <w:pPr>
              <w:pStyle w:val="Default"/>
              <w:rPr>
                <w:sz w:val="18"/>
                <w:szCs w:val="18"/>
                <w:lang w:val="en-US"/>
              </w:rPr>
            </w:pPr>
            <w:proofErr w:type="spellStart"/>
            <w:r w:rsidRPr="00F151B7">
              <w:rPr>
                <w:sz w:val="18"/>
                <w:szCs w:val="18"/>
                <w:lang w:val="en-US"/>
              </w:rPr>
              <w:t>Alexy</w:t>
            </w:r>
            <w:proofErr w:type="spellEnd"/>
            <w:r w:rsidRPr="00F151B7">
              <w:rPr>
                <w:sz w:val="18"/>
                <w:szCs w:val="18"/>
                <w:lang w:val="en-US"/>
              </w:rPr>
              <w:t xml:space="preserve">, 2005, </w:t>
            </w:r>
          </w:p>
          <w:p w:rsidR="00F151B7" w:rsidRPr="00F151B7" w:rsidRDefault="00836A18" w:rsidP="00F151B7">
            <w:pPr>
              <w:pStyle w:val="Default"/>
              <w:rPr>
                <w:snapToGrid w:val="0"/>
                <w:sz w:val="18"/>
                <w:szCs w:val="18"/>
                <w:lang w:val="en-GB"/>
              </w:rPr>
            </w:pPr>
            <w:r>
              <w:rPr>
                <w:sz w:val="18"/>
                <w:szCs w:val="18"/>
                <w:lang w:val="en-US"/>
              </w:rPr>
              <w:t>(47)</w:t>
            </w:r>
          </w:p>
          <w:p w:rsidR="00F151B7" w:rsidRPr="00F151B7" w:rsidRDefault="00F151B7" w:rsidP="00F151B7">
            <w:pPr>
              <w:pStyle w:val="Default"/>
              <w:rPr>
                <w:snapToGrid w:val="0"/>
                <w:sz w:val="18"/>
                <w:szCs w:val="18"/>
                <w:lang w:val="en-GB"/>
              </w:rPr>
            </w:pPr>
            <w:r w:rsidRPr="00F151B7">
              <w:rPr>
                <w:sz w:val="18"/>
                <w:szCs w:val="18"/>
                <w:lang w:val="en-US"/>
              </w:rPr>
              <w:t>Germany</w:t>
            </w:r>
          </w:p>
          <w:p w:rsidR="00F151B7" w:rsidRPr="00F151B7" w:rsidRDefault="00F151B7" w:rsidP="00F151B7">
            <w:pPr>
              <w:pStyle w:val="Default"/>
              <w:rPr>
                <w:snapToGrid w:val="0"/>
                <w:sz w:val="18"/>
                <w:szCs w:val="18"/>
                <w:lang w:val="en-GB"/>
              </w:rPr>
            </w:pPr>
            <w:r w:rsidRPr="00F151B7">
              <w:rPr>
                <w:snapToGrid w:val="0"/>
                <w:sz w:val="18"/>
                <w:szCs w:val="18"/>
                <w:lang w:val="en-GB"/>
              </w:rPr>
              <w:t>Cohort (open)</w:t>
            </w:r>
          </w:p>
          <w:p w:rsidR="00F151B7" w:rsidRPr="00F151B7" w:rsidRDefault="00F151B7" w:rsidP="00F151B7">
            <w:pPr>
              <w:rPr>
                <w:sz w:val="18"/>
                <w:szCs w:val="18"/>
                <w:lang w:val="en-US"/>
              </w:rPr>
            </w:pPr>
            <w:r w:rsidRPr="00F151B7">
              <w:rPr>
                <w:snapToGrid w:val="0"/>
                <w:sz w:val="18"/>
                <w:szCs w:val="18"/>
                <w:lang w:val="en-GB"/>
              </w:rPr>
              <w:t>DONALD</w:t>
            </w:r>
          </w:p>
        </w:tc>
        <w:tc>
          <w:tcPr>
            <w:tcW w:w="1676"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Sub-group from DONALD-study,</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Inclusion: white, healthy + ≥4 of possible 5 valid 3-d food records from the 4-y prior to bone analysis.</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 xml:space="preserve">Inclusion criteria DONALD-study not mentioned in the paper  </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Gestational age 37-42 w, singleton, birth weight ≥2500g</w:t>
            </w:r>
          </w:p>
          <w:p w:rsidR="00F151B7" w:rsidRPr="00F151B7" w:rsidRDefault="00F151B7" w:rsidP="00F151B7">
            <w:pPr>
              <w:autoSpaceDE w:val="0"/>
              <w:autoSpaceDN w:val="0"/>
              <w:adjustRightInd w:val="0"/>
              <w:spacing w:before="60"/>
              <w:rPr>
                <w:snapToGrid w:val="0"/>
                <w:color w:val="000000"/>
                <w:sz w:val="18"/>
                <w:szCs w:val="18"/>
                <w:lang w:val="en-GB"/>
              </w:rPr>
            </w:pPr>
            <w:proofErr w:type="spellStart"/>
            <w:r w:rsidRPr="00F151B7">
              <w:rPr>
                <w:snapToGrid w:val="0"/>
                <w:color w:val="000000"/>
                <w:sz w:val="18"/>
                <w:szCs w:val="18"/>
                <w:lang w:val="en-GB"/>
              </w:rPr>
              <w:t>Setting</w:t>
            </w:r>
            <w:proofErr w:type="gramStart"/>
            <w:r w:rsidRPr="00F151B7">
              <w:rPr>
                <w:snapToGrid w:val="0"/>
                <w:color w:val="000000"/>
                <w:sz w:val="18"/>
                <w:szCs w:val="18"/>
                <w:lang w:val="en-GB"/>
              </w:rPr>
              <w:t>:Dortmund</w:t>
            </w:r>
            <w:proofErr w:type="spellEnd"/>
            <w:proofErr w:type="gramEnd"/>
            <w:r w:rsidRPr="00F151B7">
              <w:rPr>
                <w:snapToGrid w:val="0"/>
                <w:color w:val="000000"/>
                <w:sz w:val="18"/>
                <w:szCs w:val="18"/>
                <w:lang w:val="en-GB"/>
              </w:rPr>
              <w:t>, Germany.</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N=229 (115 M, 114 F)</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6-18 y.</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White Germans.</w:t>
            </w:r>
          </w:p>
          <w:p w:rsidR="00F151B7" w:rsidRPr="00F151B7" w:rsidRDefault="00F151B7" w:rsidP="00F151B7">
            <w:pPr>
              <w:pStyle w:val="Default"/>
              <w:rPr>
                <w:snapToGrid w:val="0"/>
                <w:sz w:val="18"/>
                <w:szCs w:val="18"/>
                <w:lang w:val="en-GB"/>
              </w:rPr>
            </w:pPr>
            <w:r w:rsidRPr="00F151B7">
              <w:rPr>
                <w:snapToGrid w:val="0"/>
                <w:color w:val="auto"/>
                <w:sz w:val="18"/>
                <w:szCs w:val="18"/>
                <w:lang w:val="en-GB"/>
              </w:rPr>
              <w:lastRenderedPageBreak/>
              <w:t xml:space="preserve">Weight, </w:t>
            </w:r>
            <w:proofErr w:type="spellStart"/>
            <w:r w:rsidRPr="00F151B7">
              <w:rPr>
                <w:snapToGrid w:val="0"/>
                <w:color w:val="auto"/>
                <w:sz w:val="18"/>
                <w:szCs w:val="18"/>
                <w:lang w:val="en-GB"/>
              </w:rPr>
              <w:t>height,BMI</w:t>
            </w:r>
            <w:proofErr w:type="spellEnd"/>
            <w:r w:rsidRPr="00F151B7">
              <w:rPr>
                <w:snapToGrid w:val="0"/>
                <w:color w:val="auto"/>
                <w:sz w:val="18"/>
                <w:szCs w:val="18"/>
                <w:lang w:val="en-GB"/>
              </w:rPr>
              <w:t xml:space="preserve">,  </w:t>
            </w:r>
            <w:proofErr w:type="spellStart"/>
            <w:r w:rsidRPr="00F151B7">
              <w:rPr>
                <w:snapToGrid w:val="0"/>
                <w:color w:val="auto"/>
                <w:sz w:val="18"/>
                <w:szCs w:val="18"/>
                <w:lang w:val="en-GB"/>
              </w:rPr>
              <w:t>iso</w:t>
            </w:r>
            <w:proofErr w:type="spellEnd"/>
            <w:r w:rsidRPr="00F151B7">
              <w:rPr>
                <w:snapToGrid w:val="0"/>
                <w:color w:val="auto"/>
                <w:sz w:val="18"/>
                <w:szCs w:val="18"/>
                <w:lang w:val="en-GB"/>
              </w:rPr>
              <w:t>-BMI, growth velocity, Tanner stage</w:t>
            </w:r>
          </w:p>
        </w:tc>
        <w:tc>
          <w:tcPr>
            <w:tcW w:w="1537"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lastRenderedPageBreak/>
              <w:t>Proximal forearm bone variables (cross-sectional data 1 measurement)</w:t>
            </w:r>
          </w:p>
          <w:p w:rsidR="00F151B7" w:rsidRPr="00F151B7" w:rsidRDefault="00F151B7" w:rsidP="00F151B7">
            <w:pPr>
              <w:pStyle w:val="Default"/>
              <w:rPr>
                <w:snapToGrid w:val="0"/>
                <w:sz w:val="18"/>
                <w:szCs w:val="18"/>
                <w:lang w:val="en-GB"/>
              </w:rPr>
            </w:pPr>
          </w:p>
        </w:tc>
        <w:tc>
          <w:tcPr>
            <w:tcW w:w="1342"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Potential renal acid load (PRAL) calculated from dietary protein, P, Mg, K.</w:t>
            </w:r>
          </w:p>
          <w:p w:rsidR="00F151B7" w:rsidRPr="00F151B7" w:rsidRDefault="00F151B7" w:rsidP="00F151B7">
            <w:pPr>
              <w:pStyle w:val="Default"/>
              <w:rPr>
                <w:snapToGrid w:val="0"/>
                <w:color w:val="auto"/>
                <w:sz w:val="18"/>
                <w:szCs w:val="18"/>
                <w:lang w:val="en-GB"/>
              </w:rPr>
            </w:pPr>
          </w:p>
          <w:p w:rsidR="00F151B7" w:rsidRPr="00F151B7" w:rsidRDefault="00F151B7" w:rsidP="00F151B7">
            <w:pPr>
              <w:pStyle w:val="Default"/>
              <w:rPr>
                <w:snapToGrid w:val="0"/>
                <w:sz w:val="18"/>
                <w:szCs w:val="18"/>
                <w:lang w:val="en-GB"/>
              </w:rPr>
            </w:pPr>
            <w:r w:rsidRPr="00F151B7">
              <w:rPr>
                <w:snapToGrid w:val="0"/>
                <w:color w:val="auto"/>
                <w:sz w:val="18"/>
                <w:szCs w:val="18"/>
                <w:lang w:val="en-GB"/>
              </w:rPr>
              <w:t xml:space="preserve">Exposure to protein, PRAL and </w:t>
            </w:r>
            <w:proofErr w:type="spellStart"/>
            <w:r w:rsidRPr="00F151B7">
              <w:rPr>
                <w:snapToGrid w:val="0"/>
                <w:color w:val="auto"/>
                <w:sz w:val="18"/>
                <w:szCs w:val="18"/>
                <w:lang w:val="en-GB"/>
              </w:rPr>
              <w:t>Ca</w:t>
            </w:r>
            <w:proofErr w:type="spellEnd"/>
            <w:r w:rsidRPr="00F151B7">
              <w:rPr>
                <w:snapToGrid w:val="0"/>
                <w:color w:val="auto"/>
                <w:sz w:val="18"/>
                <w:szCs w:val="18"/>
                <w:lang w:val="en-GB"/>
              </w:rPr>
              <w:t xml:space="preserve"> = input</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t>Dietary intake measured 5 times starting 4 years before bone measurement</w:t>
            </w:r>
          </w:p>
        </w:tc>
        <w:tc>
          <w:tcPr>
            <w:tcW w:w="1316"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3-d weighed records once/year for four years.</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Mean of 4-5 records was calculated to reflect long term dietary intake</w:t>
            </w:r>
          </w:p>
          <w:p w:rsidR="00F151B7" w:rsidRPr="00F151B7" w:rsidRDefault="00F151B7" w:rsidP="00F151B7">
            <w:pPr>
              <w:autoSpaceDE w:val="0"/>
              <w:autoSpaceDN w:val="0"/>
              <w:adjustRightInd w:val="0"/>
              <w:spacing w:before="60"/>
              <w:rPr>
                <w:snapToGrid w:val="0"/>
                <w:color w:val="000000"/>
                <w:sz w:val="18"/>
                <w:szCs w:val="18"/>
                <w:lang w:val="en-GB"/>
              </w:rPr>
            </w:pPr>
            <w:proofErr w:type="spellStart"/>
            <w:r w:rsidRPr="00F151B7">
              <w:rPr>
                <w:snapToGrid w:val="0"/>
                <w:color w:val="000000"/>
                <w:sz w:val="18"/>
                <w:szCs w:val="18"/>
                <w:lang w:val="en-GB"/>
              </w:rPr>
              <w:t>Semiquantitative</w:t>
            </w:r>
            <w:proofErr w:type="spellEnd"/>
            <w:r w:rsidRPr="00F151B7">
              <w:rPr>
                <w:snapToGrid w:val="0"/>
                <w:color w:val="000000"/>
                <w:sz w:val="18"/>
                <w:szCs w:val="18"/>
                <w:lang w:val="en-GB"/>
              </w:rPr>
              <w:t xml:space="preserve"> recording allowed if weighing not possible.</w:t>
            </w:r>
          </w:p>
          <w:p w:rsidR="00F151B7" w:rsidRPr="00F151B7" w:rsidRDefault="00F151B7" w:rsidP="00F151B7">
            <w:pPr>
              <w:pStyle w:val="Default"/>
              <w:rPr>
                <w:snapToGrid w:val="0"/>
                <w:color w:val="auto"/>
                <w:sz w:val="18"/>
                <w:szCs w:val="18"/>
                <w:lang w:val="en-GB"/>
              </w:rPr>
            </w:pPr>
            <w:r w:rsidRPr="00F151B7">
              <w:rPr>
                <w:snapToGrid w:val="0"/>
                <w:color w:val="auto"/>
                <w:sz w:val="18"/>
                <w:szCs w:val="18"/>
                <w:lang w:val="en-GB"/>
              </w:rPr>
              <w:t xml:space="preserve">Goldberg cut-off, BMR calculated  </w:t>
            </w:r>
            <w:proofErr w:type="spellStart"/>
            <w:r w:rsidRPr="00F151B7">
              <w:rPr>
                <w:snapToGrid w:val="0"/>
                <w:color w:val="auto"/>
                <w:sz w:val="18"/>
                <w:szCs w:val="18"/>
                <w:lang w:val="en-GB"/>
              </w:rPr>
              <w:t>Shofield</w:t>
            </w:r>
            <w:proofErr w:type="spellEnd"/>
            <w:r w:rsidRPr="00F151B7">
              <w:rPr>
                <w:snapToGrid w:val="0"/>
                <w:color w:val="auto"/>
                <w:sz w:val="18"/>
                <w:szCs w:val="18"/>
                <w:lang w:val="en-GB"/>
              </w:rPr>
              <w:t xml:space="preserve"> equation (light PAL used as standard)</w:t>
            </w:r>
          </w:p>
          <w:p w:rsidR="00F151B7" w:rsidRPr="00F151B7" w:rsidRDefault="00F151B7" w:rsidP="00F151B7">
            <w:pPr>
              <w:pStyle w:val="Default"/>
              <w:rPr>
                <w:snapToGrid w:val="0"/>
                <w:sz w:val="18"/>
                <w:szCs w:val="18"/>
                <w:lang w:val="en-GB"/>
              </w:rPr>
            </w:pPr>
            <w:r w:rsidRPr="00F151B7">
              <w:rPr>
                <w:snapToGrid w:val="0"/>
                <w:sz w:val="18"/>
                <w:szCs w:val="18"/>
                <w:lang w:val="en-GB"/>
              </w:rPr>
              <w:t>38% had non-</w:t>
            </w:r>
            <w:r w:rsidRPr="00F151B7">
              <w:rPr>
                <w:snapToGrid w:val="0"/>
                <w:sz w:val="18"/>
                <w:szCs w:val="18"/>
                <w:lang w:val="en-GB"/>
              </w:rPr>
              <w:lastRenderedPageBreak/>
              <w:t>valid records (Goldberg and Schofield) and were excluded. No details given as to level of underreporting among those remaining in study</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229 (115 M, 114 F)</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tc>
        <w:tc>
          <w:tcPr>
            <w:tcW w:w="1179"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0% drop-out</w:t>
            </w:r>
          </w:p>
          <w:p w:rsidR="00F151B7" w:rsidRPr="00F151B7" w:rsidRDefault="00F151B7" w:rsidP="00F151B7">
            <w:pPr>
              <w:pStyle w:val="Default"/>
              <w:rPr>
                <w:snapToGrid w:val="0"/>
                <w:sz w:val="18"/>
                <w:szCs w:val="18"/>
                <w:lang w:val="en-GB"/>
              </w:rPr>
            </w:pPr>
            <w:r w:rsidRPr="00F151B7">
              <w:rPr>
                <w:snapToGrid w:val="0"/>
                <w:color w:val="auto"/>
                <w:sz w:val="18"/>
                <w:szCs w:val="18"/>
                <w:lang w:val="en-GB"/>
              </w:rPr>
              <w:t>(371 did bone analysis, but only 229 (62%) with valid dietary data was selected for the study.)</w:t>
            </w:r>
          </w:p>
        </w:tc>
        <w:tc>
          <w:tcPr>
            <w:tcW w:w="1526" w:type="dxa"/>
          </w:tcPr>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Protein intake (g/d) was positively associated with all bone variables (explained 3-6% of variation in bone indexes). (p=&lt;0.0001 – 0-0014)</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 xml:space="preserve">PRAL was negatively associated with cortical area (p=0.0075) and bone mineral content (0.0055). Explained 2% of variation for both. </w:t>
            </w:r>
          </w:p>
          <w:p w:rsidR="00F151B7" w:rsidRPr="00F151B7" w:rsidRDefault="00F151B7" w:rsidP="00F151B7">
            <w:pPr>
              <w:autoSpaceDE w:val="0"/>
              <w:autoSpaceDN w:val="0"/>
              <w:adjustRightInd w:val="0"/>
              <w:spacing w:before="60"/>
              <w:rPr>
                <w:snapToGrid w:val="0"/>
                <w:color w:val="000000"/>
                <w:sz w:val="18"/>
                <w:szCs w:val="18"/>
                <w:lang w:val="en-GB"/>
              </w:rPr>
            </w:pPr>
            <w:r w:rsidRPr="00F151B7">
              <w:rPr>
                <w:snapToGrid w:val="0"/>
                <w:color w:val="000000"/>
                <w:sz w:val="18"/>
                <w:szCs w:val="18"/>
                <w:lang w:val="en-GB"/>
              </w:rPr>
              <w:t>(Muscle area accounted for 24-36%, p&lt;0.001)</w:t>
            </w:r>
          </w:p>
          <w:p w:rsidR="00F151B7" w:rsidRPr="00F151B7" w:rsidRDefault="00F151B7" w:rsidP="00F151B7">
            <w:pPr>
              <w:pStyle w:val="Default"/>
              <w:rPr>
                <w:snapToGrid w:val="0"/>
                <w:sz w:val="18"/>
                <w:szCs w:val="18"/>
                <w:lang w:val="en-GB"/>
              </w:rPr>
            </w:pPr>
            <w:proofErr w:type="spellStart"/>
            <w:r w:rsidRPr="00F151B7">
              <w:rPr>
                <w:snapToGrid w:val="0"/>
                <w:color w:val="auto"/>
                <w:sz w:val="18"/>
                <w:szCs w:val="18"/>
                <w:lang w:val="en-GB"/>
              </w:rPr>
              <w:t>Ca</w:t>
            </w:r>
            <w:proofErr w:type="spellEnd"/>
            <w:r w:rsidRPr="00F151B7">
              <w:rPr>
                <w:snapToGrid w:val="0"/>
                <w:color w:val="auto"/>
                <w:sz w:val="18"/>
                <w:szCs w:val="18"/>
                <w:lang w:val="en-GB"/>
              </w:rPr>
              <w:t xml:space="preserve"> intake non </w:t>
            </w:r>
            <w:r w:rsidRPr="00F151B7">
              <w:rPr>
                <w:snapToGrid w:val="0"/>
                <w:color w:val="auto"/>
                <w:sz w:val="18"/>
                <w:szCs w:val="18"/>
                <w:lang w:val="en-GB"/>
              </w:rPr>
              <w:lastRenderedPageBreak/>
              <w:t>sign for all bone variables</w:t>
            </w:r>
          </w:p>
        </w:tc>
        <w:tc>
          <w:tcPr>
            <w:tcW w:w="1418"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Age, sex, total energy (residual method),  growth velocity (GV), muscle area, BMI, menarche/voice break, Tanner stage</w:t>
            </w: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t>B</w:t>
            </w:r>
          </w:p>
          <w:p w:rsidR="00F151B7" w:rsidRPr="00F151B7" w:rsidRDefault="00F151B7" w:rsidP="00F151B7">
            <w:pPr>
              <w:pStyle w:val="Default"/>
              <w:rPr>
                <w:snapToGrid w:val="0"/>
                <w:sz w:val="18"/>
                <w:szCs w:val="18"/>
                <w:lang w:val="en-GB"/>
              </w:rPr>
            </w:pPr>
            <w:r w:rsidRPr="00F151B7">
              <w:rPr>
                <w:snapToGrid w:val="0"/>
                <w:sz w:val="18"/>
                <w:szCs w:val="18"/>
                <w:lang w:val="en-GB"/>
              </w:rPr>
              <w:t>By chance findings not considered</w:t>
            </w:r>
          </w:p>
          <w:p w:rsidR="00F151B7" w:rsidRPr="00F151B7" w:rsidRDefault="00F151B7" w:rsidP="00F151B7">
            <w:pPr>
              <w:pStyle w:val="Default"/>
              <w:spacing w:before="120"/>
              <w:rPr>
                <w:snapToGrid w:val="0"/>
                <w:sz w:val="18"/>
                <w:szCs w:val="18"/>
                <w:lang w:val="en-US"/>
              </w:rPr>
            </w:pPr>
            <w:r w:rsidRPr="00F151B7">
              <w:rPr>
                <w:snapToGrid w:val="0"/>
                <w:sz w:val="18"/>
                <w:szCs w:val="18"/>
                <w:lang w:val="en-US"/>
              </w:rPr>
              <w:t xml:space="preserve">38% had non-valid records (Goldberg and Schofield) and were excluded. No details given as to level of underreporting among those remaining in study. </w:t>
            </w:r>
          </w:p>
          <w:p w:rsidR="00F151B7" w:rsidRPr="00F151B7" w:rsidRDefault="00F151B7" w:rsidP="00F151B7">
            <w:pPr>
              <w:pStyle w:val="Default"/>
              <w:spacing w:before="120"/>
              <w:rPr>
                <w:snapToGrid w:val="0"/>
                <w:sz w:val="18"/>
                <w:szCs w:val="18"/>
                <w:lang w:val="en-US"/>
              </w:rPr>
            </w:pPr>
            <w:r w:rsidRPr="00F151B7">
              <w:rPr>
                <w:snapToGrid w:val="0"/>
                <w:sz w:val="18"/>
                <w:szCs w:val="18"/>
                <w:lang w:val="en-US"/>
              </w:rPr>
              <w:t xml:space="preserve">Mean </w:t>
            </w:r>
            <w:r w:rsidRPr="00F151B7">
              <w:rPr>
                <w:snapToGrid w:val="0"/>
                <w:sz w:val="18"/>
                <w:szCs w:val="18"/>
                <w:lang w:val="en-US"/>
              </w:rPr>
              <w:lastRenderedPageBreak/>
              <w:t xml:space="preserve">energy intake </w:t>
            </w:r>
            <w:proofErr w:type="spellStart"/>
            <w:r w:rsidRPr="00F151B7">
              <w:rPr>
                <w:snapToGrid w:val="0"/>
                <w:sz w:val="18"/>
                <w:szCs w:val="18"/>
                <w:lang w:val="en-US"/>
              </w:rPr>
              <w:t>ca</w:t>
            </w:r>
            <w:proofErr w:type="spellEnd"/>
            <w:r w:rsidRPr="00F151B7">
              <w:rPr>
                <w:snapToGrid w:val="0"/>
                <w:sz w:val="18"/>
                <w:szCs w:val="18"/>
                <w:lang w:val="en-US"/>
              </w:rPr>
              <w:t xml:space="preserve"> 74 (prepubescent girls) -84% (prepubescent boys) of recommendation for age.</w:t>
            </w:r>
          </w:p>
        </w:tc>
      </w:tr>
      <w:tr w:rsidR="00F151B7" w:rsidRPr="00BE4911" w:rsidTr="00F151B7">
        <w:trPr>
          <w:trHeight w:val="522"/>
        </w:trPr>
        <w:tc>
          <w:tcPr>
            <w:tcW w:w="1089" w:type="dxa"/>
          </w:tcPr>
          <w:p w:rsidR="00836A18" w:rsidRDefault="00F151B7" w:rsidP="00F151B7">
            <w:pPr>
              <w:pStyle w:val="Default"/>
              <w:rPr>
                <w:snapToGrid w:val="0"/>
                <w:sz w:val="18"/>
                <w:szCs w:val="18"/>
                <w:lang w:val="en-GB"/>
              </w:rPr>
            </w:pPr>
            <w:r w:rsidRPr="00F151B7">
              <w:rPr>
                <w:snapToGrid w:val="0"/>
                <w:sz w:val="18"/>
                <w:szCs w:val="18"/>
                <w:lang w:val="en-GB"/>
              </w:rPr>
              <w:lastRenderedPageBreak/>
              <w:t xml:space="preserve">Bounds </w:t>
            </w:r>
            <w:r w:rsidR="00534085">
              <w:rPr>
                <w:snapToGrid w:val="0"/>
                <w:sz w:val="18"/>
                <w:szCs w:val="18"/>
                <w:lang w:val="en-GB"/>
              </w:rPr>
              <w:t>2005</w:t>
            </w:r>
          </w:p>
          <w:p w:rsidR="00F151B7" w:rsidRPr="00F151B7" w:rsidRDefault="00836A18" w:rsidP="00F151B7">
            <w:pPr>
              <w:pStyle w:val="Default"/>
              <w:rPr>
                <w:snapToGrid w:val="0"/>
                <w:sz w:val="18"/>
                <w:szCs w:val="18"/>
                <w:lang w:val="en-GB"/>
              </w:rPr>
            </w:pPr>
            <w:r>
              <w:rPr>
                <w:snapToGrid w:val="0"/>
                <w:sz w:val="18"/>
                <w:szCs w:val="18"/>
                <w:lang w:val="en-GB"/>
              </w:rPr>
              <w:t>(48)</w:t>
            </w:r>
          </w:p>
          <w:p w:rsidR="00F151B7" w:rsidRPr="00F151B7" w:rsidRDefault="00F151B7" w:rsidP="00F151B7">
            <w:pPr>
              <w:pStyle w:val="Default"/>
              <w:rPr>
                <w:snapToGrid w:val="0"/>
                <w:sz w:val="18"/>
                <w:szCs w:val="18"/>
                <w:lang w:val="en-GB"/>
              </w:rPr>
            </w:pPr>
            <w:r w:rsidRPr="00F151B7">
              <w:rPr>
                <w:snapToGrid w:val="0"/>
                <w:sz w:val="18"/>
                <w:szCs w:val="18"/>
                <w:lang w:val="en-GB"/>
              </w:rPr>
              <w:t>Prospective cohort</w:t>
            </w:r>
          </w:p>
          <w:p w:rsidR="00F151B7" w:rsidRPr="00F151B7" w:rsidRDefault="00F151B7" w:rsidP="00F151B7">
            <w:pPr>
              <w:pStyle w:val="Default"/>
              <w:rPr>
                <w:snapToGrid w:val="0"/>
                <w:sz w:val="18"/>
                <w:szCs w:val="18"/>
                <w:lang w:val="en-GB"/>
              </w:rPr>
            </w:pPr>
            <w:r w:rsidRPr="00F151B7">
              <w:rPr>
                <w:snapToGrid w:val="0"/>
                <w:sz w:val="18"/>
                <w:szCs w:val="18"/>
                <w:lang w:val="en-GB"/>
              </w:rPr>
              <w:t>USA</w:t>
            </w:r>
          </w:p>
        </w:tc>
        <w:tc>
          <w:tcPr>
            <w:tcW w:w="1676"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The children who participated in this study were all white and were healthy at birth. A single racial group was included to control for differences in children’s growth and body composition attributable to race. Most of the families were of middle to upper socioeconomic status, which helped to ensure access to adequate food and health care needed for children’s normal growth and development</w:t>
            </w:r>
          </w:p>
        </w:tc>
        <w:tc>
          <w:tcPr>
            <w:tcW w:w="1537"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Total BMC (bone mineral content, g) and BMD (bone mineral density, g/cm</w:t>
            </w:r>
            <w:r w:rsidRPr="00F151B7">
              <w:rPr>
                <w:rFonts w:eastAsia="Calibri"/>
                <w:sz w:val="18"/>
                <w:szCs w:val="18"/>
                <w:vertAlign w:val="superscript"/>
                <w:lang w:val="en-US" w:eastAsia="en-US"/>
              </w:rPr>
              <w:t>2</w:t>
            </w:r>
            <w:r w:rsidRPr="00F151B7">
              <w:rPr>
                <w:rFonts w:eastAsia="Calibri"/>
                <w:sz w:val="18"/>
                <w:szCs w:val="18"/>
                <w:lang w:val="en-US" w:eastAsia="en-US"/>
              </w:rPr>
              <w:t>) at age 8 years.</w:t>
            </w:r>
          </w:p>
        </w:tc>
        <w:tc>
          <w:tcPr>
            <w:tcW w:w="1342"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Children’s dietary intake, height, weight, and level of sedentary activity were assessed as part of a longitudinal study from ages 2 months to 8 years</w:t>
            </w:r>
          </w:p>
        </w:tc>
        <w:tc>
          <w:tcPr>
            <w:tcW w:w="1256"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Nine in-home interviews when children were 2.3, 2.8, 3.5, 4, 4.5, 5, 6, 7, and 8 years of age.</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DEXA at 6 y and 8 y</w:t>
            </w:r>
          </w:p>
        </w:tc>
        <w:tc>
          <w:tcPr>
            <w:tcW w:w="1316"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Mothers reported 3 days of dietary information for their children at each of these interviews. Children’s dietary data consisted of two food records and one 24-hour recall at each of the nine data collection points (including 2 weekdays and 1 weekend day) resulting in a total of 27 days of dietary data per child. </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For each food or beverage listed on the food record, mothers provided </w:t>
            </w:r>
            <w:r w:rsidRPr="00F151B7">
              <w:rPr>
                <w:rFonts w:eastAsia="Calibri"/>
                <w:sz w:val="18"/>
                <w:szCs w:val="18"/>
                <w:lang w:val="en-US" w:eastAsia="en-US"/>
              </w:rPr>
              <w:lastRenderedPageBreak/>
              <w:t>descriptions and/or brand names, methods of preparation, and amounts consumed.</w:t>
            </w:r>
          </w:p>
          <w:p w:rsidR="00F151B7" w:rsidRPr="00F151B7" w:rsidRDefault="00F151B7" w:rsidP="00F151B7">
            <w:pPr>
              <w:autoSpaceDE w:val="0"/>
              <w:autoSpaceDN w:val="0"/>
              <w:adjustRightInd w:val="0"/>
              <w:rPr>
                <w:snapToGrid w:val="0"/>
                <w:sz w:val="18"/>
                <w:szCs w:val="18"/>
                <w:lang w:val="en-US"/>
              </w:rPr>
            </w:pPr>
            <w:r w:rsidRPr="00F151B7">
              <w:rPr>
                <w:rFonts w:eastAsia="Calibri"/>
                <w:sz w:val="18"/>
                <w:szCs w:val="18"/>
                <w:lang w:val="en-US" w:eastAsia="en-US"/>
              </w:rPr>
              <w:t>The 3 days of dietary data at each of the nine interviews were averaged for each child to create a representative daily intake of each nutrient at each interview. The nine representative daily intakes, consisting of data from interviews occurring when children were 2 to 8 years of age, were then summed and averaged to provide a longitudinal daily intake of each nutrient for each child that was based on 27 days of dietary data.</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52 (25 M, 27 F)</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52/70 = 74% participated in DEXA</w:t>
            </w:r>
          </w:p>
        </w:tc>
        <w:tc>
          <w:tcPr>
            <w:tcW w:w="1526" w:type="dxa"/>
          </w:tcPr>
          <w:p w:rsidR="00F151B7" w:rsidRPr="00F151B7" w:rsidRDefault="00F151B7" w:rsidP="00F151B7">
            <w:pPr>
              <w:autoSpaceDE w:val="0"/>
              <w:autoSpaceDN w:val="0"/>
              <w:adjustRightInd w:val="0"/>
              <w:rPr>
                <w:snapToGrid w:val="0"/>
                <w:sz w:val="18"/>
                <w:szCs w:val="18"/>
                <w:lang w:val="en-US"/>
              </w:rPr>
            </w:pPr>
            <w:r w:rsidRPr="00F151B7">
              <w:rPr>
                <w:rFonts w:eastAsia="Calibri"/>
                <w:sz w:val="18"/>
                <w:szCs w:val="18"/>
                <w:lang w:val="en-US" w:eastAsia="en-US"/>
              </w:rPr>
              <w:t>Factors positively related to children’s BMC at age 8 years included longitudinal intakes (ages 2 to 8 years) of protein, phosphorus, vitamin K, magnesium, zinc, energy, and iron; height; weight; and age (</w:t>
            </w:r>
            <w:r w:rsidRPr="00F151B7">
              <w:rPr>
                <w:rFonts w:eastAsia="Calibri"/>
                <w:i/>
                <w:iCs/>
                <w:sz w:val="18"/>
                <w:szCs w:val="18"/>
                <w:lang w:val="en-US" w:eastAsia="en-US"/>
              </w:rPr>
              <w:t>P≤</w:t>
            </w:r>
            <w:r w:rsidRPr="00F151B7">
              <w:rPr>
                <w:rFonts w:eastAsia="Calibri"/>
                <w:sz w:val="18"/>
                <w:szCs w:val="18"/>
                <w:lang w:val="en-US" w:eastAsia="en-US"/>
              </w:rPr>
              <w:t>.05). Factors positively related to children’s BMD at age 8 years included longitudinal intakes of protein and magnesium (</w:t>
            </w:r>
            <w:r w:rsidRPr="00F151B7">
              <w:rPr>
                <w:rFonts w:eastAsia="Calibri"/>
                <w:i/>
                <w:iCs/>
                <w:sz w:val="18"/>
                <w:szCs w:val="18"/>
                <w:lang w:val="en-US" w:eastAsia="en-US"/>
              </w:rPr>
              <w:t>P</w:t>
            </w:r>
            <w:r w:rsidRPr="00F151B7">
              <w:rPr>
                <w:rFonts w:eastAsia="Calibri"/>
                <w:sz w:val="18"/>
                <w:szCs w:val="18"/>
                <w:lang w:val="en-US" w:eastAsia="en-US"/>
              </w:rPr>
              <w:t>≤.05). Female sex was negatively associated with BMC and BMD at age 8 years (</w:t>
            </w:r>
            <w:r w:rsidRPr="00F151B7">
              <w:rPr>
                <w:rFonts w:eastAsia="Calibri"/>
                <w:i/>
                <w:iCs/>
                <w:sz w:val="18"/>
                <w:szCs w:val="18"/>
                <w:lang w:val="en-US" w:eastAsia="en-US"/>
              </w:rPr>
              <w:t>P</w:t>
            </w:r>
            <w:r w:rsidRPr="00F151B7">
              <w:rPr>
                <w:rFonts w:eastAsia="Calibri"/>
                <w:sz w:val="18"/>
                <w:szCs w:val="18"/>
                <w:lang w:val="en-US" w:eastAsia="en-US"/>
              </w:rPr>
              <w:t xml:space="preserve">≤.05). Children’s bone </w:t>
            </w:r>
            <w:r w:rsidRPr="00F151B7">
              <w:rPr>
                <w:rFonts w:eastAsia="Calibri"/>
                <w:sz w:val="18"/>
                <w:szCs w:val="18"/>
                <w:lang w:val="en-US" w:eastAsia="en-US"/>
              </w:rPr>
              <w:lastRenderedPageBreak/>
              <w:t>mineral indexes at ages 6 and 8 years were strongly correlated (</w:t>
            </w:r>
            <w:r w:rsidRPr="00F151B7">
              <w:rPr>
                <w:rFonts w:eastAsia="Calibri"/>
                <w:i/>
                <w:iCs/>
                <w:sz w:val="18"/>
                <w:szCs w:val="18"/>
                <w:lang w:val="en-US" w:eastAsia="en-US"/>
              </w:rPr>
              <w:t>r</w:t>
            </w:r>
            <w:r w:rsidRPr="00F151B7">
              <w:rPr>
                <w:rFonts w:eastAsia="Calibri"/>
                <w:sz w:val="18"/>
                <w:szCs w:val="18"/>
                <w:lang w:val="en-US" w:eastAsia="en-US"/>
              </w:rPr>
              <w:t xml:space="preserve">=0.86, </w:t>
            </w:r>
            <w:r w:rsidRPr="00F151B7">
              <w:rPr>
                <w:rFonts w:eastAsia="Calibri"/>
                <w:i/>
                <w:iCs/>
                <w:sz w:val="18"/>
                <w:szCs w:val="18"/>
                <w:lang w:val="en-US" w:eastAsia="en-US"/>
              </w:rPr>
              <w:t>P</w:t>
            </w:r>
            <w:r w:rsidRPr="00F151B7">
              <w:rPr>
                <w:rFonts w:eastAsia="Calibri"/>
                <w:sz w:val="18"/>
                <w:szCs w:val="18"/>
                <w:lang w:val="en-US" w:eastAsia="en-US"/>
              </w:rPr>
              <w:t xml:space="preserve">&lt;.0001 for BMC; </w:t>
            </w:r>
            <w:r w:rsidRPr="00F151B7">
              <w:rPr>
                <w:rFonts w:eastAsia="Calibri"/>
                <w:i/>
                <w:iCs/>
                <w:sz w:val="18"/>
                <w:szCs w:val="18"/>
                <w:lang w:val="en-US" w:eastAsia="en-US"/>
              </w:rPr>
              <w:t>r</w:t>
            </w:r>
            <w:r w:rsidRPr="00F151B7">
              <w:rPr>
                <w:rFonts w:eastAsia="Calibri"/>
                <w:sz w:val="18"/>
                <w:szCs w:val="18"/>
                <w:lang w:val="en-US" w:eastAsia="en-US"/>
              </w:rPr>
              <w:t xml:space="preserve">=0.92, </w:t>
            </w:r>
            <w:r w:rsidRPr="00F151B7">
              <w:rPr>
                <w:rFonts w:eastAsia="Calibri"/>
                <w:i/>
                <w:iCs/>
                <w:sz w:val="18"/>
                <w:szCs w:val="18"/>
                <w:lang w:val="en-US" w:eastAsia="en-US"/>
              </w:rPr>
              <w:t>P</w:t>
            </w:r>
            <w:r w:rsidRPr="00F151B7">
              <w:rPr>
                <w:rFonts w:eastAsia="Calibri"/>
                <w:sz w:val="18"/>
                <w:szCs w:val="18"/>
                <w:lang w:val="en-US" w:eastAsia="en-US"/>
              </w:rPr>
              <w:t>&lt;.0001 for BMD</w:t>
            </w:r>
          </w:p>
        </w:tc>
        <w:tc>
          <w:tcPr>
            <w:tcW w:w="1418" w:type="dxa"/>
          </w:tcPr>
          <w:p w:rsidR="00F151B7" w:rsidRPr="00F151B7" w:rsidRDefault="00F151B7" w:rsidP="00F151B7">
            <w:pPr>
              <w:autoSpaceDE w:val="0"/>
              <w:autoSpaceDN w:val="0"/>
              <w:adjustRightInd w:val="0"/>
              <w:rPr>
                <w:rFonts w:eastAsia="Calibri"/>
                <w:color w:val="000000"/>
                <w:sz w:val="18"/>
                <w:szCs w:val="18"/>
                <w:lang w:val="en-US" w:eastAsia="en-US"/>
              </w:rPr>
            </w:pPr>
            <w:r w:rsidRPr="00F151B7">
              <w:rPr>
                <w:rFonts w:eastAsia="Calibri"/>
                <w:color w:val="000000"/>
                <w:sz w:val="18"/>
                <w:szCs w:val="18"/>
                <w:lang w:val="en-US" w:eastAsia="en-US"/>
              </w:rPr>
              <w:lastRenderedPageBreak/>
              <w:t xml:space="preserve">Potential independent variables for the models included children’s longitudinal dietary intakes of energy, calcium, vitamin D, phosphorus, protein, magnesium, vitamin C, vitamin K, zinc, iron, and caffeine; children’s level of sedentary activity; children’s sex, height, weight, BMI, and age; and mothers’ total BMC or BMD (for each corresponding model). This pool of potential predictors was entered into a </w:t>
            </w:r>
            <w:r w:rsidRPr="00F151B7">
              <w:rPr>
                <w:rFonts w:eastAsia="Calibri"/>
                <w:color w:val="000000"/>
                <w:sz w:val="18"/>
                <w:szCs w:val="18"/>
                <w:lang w:val="en-US" w:eastAsia="en-US"/>
              </w:rPr>
              <w:lastRenderedPageBreak/>
              <w:t xml:space="preserve">regression procedure with a stepwise selection method, and only variables that were significant at the level of </w:t>
            </w:r>
            <w:r w:rsidRPr="00F151B7">
              <w:rPr>
                <w:rFonts w:eastAsia="Calibri"/>
                <w:i/>
                <w:iCs/>
                <w:color w:val="000000"/>
                <w:sz w:val="18"/>
                <w:szCs w:val="18"/>
                <w:lang w:val="en-US" w:eastAsia="en-US"/>
              </w:rPr>
              <w:t>P&lt;</w:t>
            </w:r>
            <w:r w:rsidRPr="00F151B7">
              <w:rPr>
                <w:rFonts w:eastAsia="Calibri"/>
                <w:color w:val="000000"/>
                <w:sz w:val="18"/>
                <w:szCs w:val="18"/>
                <w:lang w:val="en-US" w:eastAsia="en-US"/>
              </w:rPr>
              <w:t xml:space="preserve">.05 were retained in the final models predicting </w:t>
            </w:r>
          </w:p>
          <w:p w:rsidR="00F151B7" w:rsidRPr="00F151B7" w:rsidRDefault="00F151B7" w:rsidP="00F151B7">
            <w:pPr>
              <w:pStyle w:val="Default"/>
              <w:rPr>
                <w:snapToGrid w:val="0"/>
                <w:sz w:val="18"/>
                <w:szCs w:val="18"/>
                <w:lang w:val="en-US"/>
              </w:rPr>
            </w:pPr>
            <w:r w:rsidRPr="00F151B7">
              <w:rPr>
                <w:rFonts w:eastAsia="Calibri"/>
                <w:sz w:val="18"/>
                <w:szCs w:val="18"/>
                <w:lang w:val="en-US" w:eastAsia="en-US"/>
              </w:rPr>
              <w:t>children’s BMC and BMD at age 8 years</w:t>
            </w: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B</w:t>
            </w:r>
          </w:p>
          <w:p w:rsidR="00F151B7" w:rsidRPr="00F151B7" w:rsidRDefault="00F151B7" w:rsidP="00F151B7">
            <w:pPr>
              <w:autoSpaceDE w:val="0"/>
              <w:autoSpaceDN w:val="0"/>
              <w:adjustRightInd w:val="0"/>
              <w:rPr>
                <w:rFonts w:eastAsia="Calibri"/>
                <w:sz w:val="18"/>
                <w:szCs w:val="18"/>
                <w:lang w:val="en-US" w:eastAsia="en-US"/>
              </w:rPr>
            </w:pPr>
            <w:r w:rsidRPr="00F151B7">
              <w:rPr>
                <w:snapToGrid w:val="0"/>
                <w:sz w:val="18"/>
                <w:szCs w:val="18"/>
                <w:lang w:val="en-GB"/>
              </w:rPr>
              <w:t xml:space="preserve">Measurement errors not considered </w:t>
            </w:r>
            <w:r w:rsidRPr="00F151B7">
              <w:rPr>
                <w:rFonts w:eastAsia="Calibri"/>
                <w:sz w:val="18"/>
                <w:szCs w:val="18"/>
                <w:lang w:val="en-US" w:eastAsia="en-US"/>
              </w:rPr>
              <w:t xml:space="preserve"> (but it is stated that throughout this longitudinal study, mothers received training from RDs on estimating portion sizes and keeping precise food records.</w:t>
            </w:r>
            <w:r w:rsidRPr="00F151B7">
              <w:rPr>
                <w:snapToGrid w:val="0"/>
                <w:sz w:val="18"/>
                <w:szCs w:val="18"/>
                <w:lang w:val="en-GB"/>
              </w:rPr>
              <w:t xml:space="preserve">and </w:t>
            </w:r>
            <w:r w:rsidRPr="00F151B7">
              <w:rPr>
                <w:rFonts w:eastAsia="Calibri"/>
                <w:sz w:val="18"/>
                <w:szCs w:val="18"/>
                <w:lang w:val="en-US" w:eastAsia="en-US"/>
              </w:rPr>
              <w:t xml:space="preserve">the RDs reviewed food records for completeness and accuracy at each </w:t>
            </w:r>
            <w:r w:rsidRPr="00F151B7">
              <w:rPr>
                <w:rFonts w:eastAsia="Calibri"/>
                <w:sz w:val="18"/>
                <w:szCs w:val="18"/>
                <w:lang w:val="en-US" w:eastAsia="en-US"/>
              </w:rPr>
              <w:lastRenderedPageBreak/>
              <w:t xml:space="preserve">interview), </w:t>
            </w:r>
            <w:r w:rsidRPr="00F151B7">
              <w:rPr>
                <w:snapToGrid w:val="0"/>
                <w:sz w:val="18"/>
                <w:szCs w:val="18"/>
                <w:lang w:val="en-GB"/>
              </w:rPr>
              <w:t>no power calculation</w:t>
            </w:r>
          </w:p>
        </w:tc>
      </w:tr>
      <w:tr w:rsidR="00F151B7" w:rsidRPr="00BE4911" w:rsidTr="00F151B7">
        <w:trPr>
          <w:trHeight w:val="522"/>
        </w:trPr>
        <w:tc>
          <w:tcPr>
            <w:tcW w:w="1089" w:type="dxa"/>
          </w:tcPr>
          <w:p w:rsidR="00836A18" w:rsidRDefault="00F151B7" w:rsidP="00F151B7">
            <w:pPr>
              <w:pStyle w:val="Default"/>
              <w:rPr>
                <w:snapToGrid w:val="0"/>
                <w:sz w:val="18"/>
                <w:szCs w:val="18"/>
                <w:lang w:val="en-GB"/>
              </w:rPr>
            </w:pPr>
            <w:proofErr w:type="spellStart"/>
            <w:r w:rsidRPr="00F151B7">
              <w:rPr>
                <w:snapToGrid w:val="0"/>
                <w:sz w:val="18"/>
                <w:szCs w:val="18"/>
                <w:lang w:val="en-GB"/>
              </w:rPr>
              <w:lastRenderedPageBreak/>
              <w:t>Budek</w:t>
            </w:r>
            <w:proofErr w:type="spellEnd"/>
            <w:r w:rsidRPr="00F151B7">
              <w:rPr>
                <w:snapToGrid w:val="0"/>
                <w:sz w:val="18"/>
                <w:szCs w:val="18"/>
                <w:lang w:val="en-GB"/>
              </w:rPr>
              <w:t>, 2007,</w:t>
            </w:r>
          </w:p>
          <w:p w:rsidR="00F151B7" w:rsidRPr="00F151B7" w:rsidRDefault="00836A18" w:rsidP="00F151B7">
            <w:pPr>
              <w:pStyle w:val="Default"/>
              <w:rPr>
                <w:snapToGrid w:val="0"/>
                <w:sz w:val="18"/>
                <w:szCs w:val="18"/>
                <w:lang w:val="en-GB"/>
              </w:rPr>
            </w:pPr>
            <w:r>
              <w:rPr>
                <w:snapToGrid w:val="0"/>
                <w:sz w:val="18"/>
                <w:szCs w:val="18"/>
                <w:lang w:val="en-GB"/>
              </w:rPr>
              <w:lastRenderedPageBreak/>
              <w:t>(49)</w:t>
            </w:r>
            <w:r w:rsidR="00F151B7" w:rsidRPr="00F151B7">
              <w:rPr>
                <w:snapToGrid w:val="0"/>
                <w:sz w:val="18"/>
                <w:szCs w:val="18"/>
                <w:lang w:val="en-GB"/>
              </w:rPr>
              <w:t xml:space="preserve"> Denmark Cross-sectional</w:t>
            </w:r>
          </w:p>
        </w:tc>
        <w:tc>
          <w:tcPr>
            <w:tcW w:w="167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The Copenhagen Cohort Study </w:t>
            </w:r>
            <w:r w:rsidRPr="00F151B7">
              <w:rPr>
                <w:snapToGrid w:val="0"/>
                <w:sz w:val="18"/>
                <w:szCs w:val="18"/>
                <w:lang w:val="en-GB"/>
              </w:rPr>
              <w:lastRenderedPageBreak/>
              <w:t xml:space="preserve">followed infants from birth to 12 months of age, with subsequent follow-up at 10 years and at 17 years of age. Briefly, of 560 infants born between 1987 and 1988 at </w:t>
            </w:r>
            <w:proofErr w:type="spellStart"/>
            <w:r w:rsidRPr="00F151B7">
              <w:rPr>
                <w:snapToGrid w:val="0"/>
                <w:sz w:val="18"/>
                <w:szCs w:val="18"/>
                <w:lang w:val="en-GB"/>
              </w:rPr>
              <w:t>Hvidovre</w:t>
            </w:r>
            <w:proofErr w:type="spellEnd"/>
            <w:r w:rsidRPr="00F151B7">
              <w:rPr>
                <w:snapToGrid w:val="0"/>
                <w:sz w:val="18"/>
                <w:szCs w:val="18"/>
                <w:lang w:val="en-GB"/>
              </w:rPr>
              <w:t xml:space="preserve"> Hospital, 251 fulfilled inclusion criteria (healthy, Caucasian, singleton birth) and were admitted to the study. Full data were collected from 143 infants. After 17 years, the second follow-up study took place, between November 2004 and August 2005. </w:t>
            </w:r>
          </w:p>
        </w:tc>
        <w:tc>
          <w:tcPr>
            <w:tcW w:w="1537" w:type="dxa"/>
          </w:tcPr>
          <w:p w:rsidR="00F151B7" w:rsidRPr="00F151B7" w:rsidRDefault="00F151B7" w:rsidP="00F151B7">
            <w:pPr>
              <w:pStyle w:val="Default"/>
              <w:rPr>
                <w:snapToGrid w:val="0"/>
                <w:sz w:val="18"/>
                <w:szCs w:val="18"/>
                <w:lang w:val="en-GB"/>
              </w:rPr>
            </w:pPr>
            <w:r w:rsidRPr="00F151B7">
              <w:rPr>
                <w:rFonts w:eastAsia="Calibri"/>
                <w:color w:val="141314"/>
                <w:sz w:val="18"/>
                <w:szCs w:val="18"/>
                <w:lang w:val="en-US" w:eastAsia="en-US"/>
              </w:rPr>
              <w:lastRenderedPageBreak/>
              <w:t xml:space="preserve">bone mineral content (BMC) at </w:t>
            </w:r>
            <w:r w:rsidRPr="00F151B7">
              <w:rPr>
                <w:rFonts w:eastAsia="Calibri"/>
                <w:color w:val="141314"/>
                <w:sz w:val="18"/>
                <w:szCs w:val="18"/>
                <w:lang w:val="en-US" w:eastAsia="en-US"/>
              </w:rPr>
              <w:lastRenderedPageBreak/>
              <w:t>17 y</w:t>
            </w:r>
          </w:p>
        </w:tc>
        <w:tc>
          <w:tcPr>
            <w:tcW w:w="1342"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Milk and meat protein intake </w:t>
            </w:r>
            <w:r w:rsidRPr="00F151B7">
              <w:rPr>
                <w:snapToGrid w:val="0"/>
                <w:sz w:val="18"/>
                <w:szCs w:val="18"/>
                <w:lang w:val="en-GB"/>
              </w:rPr>
              <w:lastRenderedPageBreak/>
              <w:t>at 17 y.</w:t>
            </w:r>
          </w:p>
          <w:p w:rsidR="00F151B7" w:rsidRPr="00F151B7" w:rsidRDefault="00F151B7" w:rsidP="00F151B7">
            <w:pPr>
              <w:autoSpaceDE w:val="0"/>
              <w:autoSpaceDN w:val="0"/>
              <w:adjustRightInd w:val="0"/>
              <w:rPr>
                <w:snapToGrid w:val="0"/>
                <w:sz w:val="18"/>
                <w:szCs w:val="18"/>
                <w:lang w:val="en-US"/>
              </w:rPr>
            </w:pPr>
            <w:r w:rsidRPr="00F151B7">
              <w:rPr>
                <w:rFonts w:eastAsia="Calibri"/>
                <w:color w:val="141314"/>
                <w:sz w:val="18"/>
                <w:szCs w:val="18"/>
                <w:lang w:val="en-US" w:eastAsia="en-US"/>
              </w:rPr>
              <w:t>The aim was to test the hypotheses that total protein intake is positively associated with bone mass, and that milk and meat protein intake is differently associated with bone mass in adolescents</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Cross-sect at 17 y</w:t>
            </w:r>
          </w:p>
        </w:tc>
        <w:tc>
          <w:tcPr>
            <w:tcW w:w="1316"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7-day food record with </w:t>
            </w:r>
            <w:r w:rsidRPr="00F151B7">
              <w:rPr>
                <w:snapToGrid w:val="0"/>
                <w:sz w:val="18"/>
                <w:szCs w:val="18"/>
                <w:lang w:val="en-GB"/>
              </w:rPr>
              <w:lastRenderedPageBreak/>
              <w:t>pre-coded response categories, supplemented with open-ended alternatives, household measurements and a series of 12 photographs for portion sizes.</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From the original </w:t>
            </w:r>
            <w:r w:rsidRPr="00F151B7">
              <w:rPr>
                <w:snapToGrid w:val="0"/>
                <w:sz w:val="18"/>
                <w:szCs w:val="18"/>
                <w:lang w:val="en-GB"/>
              </w:rPr>
              <w:lastRenderedPageBreak/>
              <w:t>population, 140 adolescents were invited; 109 agreed to participate and 109 completed the measurements. (46 M, 63 F)</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None</w:t>
            </w: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Cross-sectional – </w:t>
            </w:r>
            <w:r w:rsidRPr="00F151B7">
              <w:rPr>
                <w:snapToGrid w:val="0"/>
                <w:sz w:val="18"/>
                <w:szCs w:val="18"/>
                <w:lang w:val="en-GB"/>
              </w:rPr>
              <w:lastRenderedPageBreak/>
              <w:t>no drop-outs</w:t>
            </w:r>
          </w:p>
        </w:tc>
        <w:tc>
          <w:tcPr>
            <w:tcW w:w="152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The mean total protein intake </w:t>
            </w:r>
            <w:r w:rsidRPr="00F151B7">
              <w:rPr>
                <w:snapToGrid w:val="0"/>
                <w:sz w:val="18"/>
                <w:szCs w:val="18"/>
                <w:lang w:val="en-GB"/>
              </w:rPr>
              <w:lastRenderedPageBreak/>
              <w:t>(</w:t>
            </w:r>
            <w:r w:rsidRPr="00F151B7">
              <w:rPr>
                <w:rFonts w:ascii="Cambria Math" w:hAnsi="Cambria Math" w:cs="Cambria Math"/>
                <w:snapToGrid w:val="0"/>
                <w:sz w:val="18"/>
                <w:szCs w:val="18"/>
                <w:lang w:val="en-GB"/>
              </w:rPr>
              <w:t>∼</w:t>
            </w:r>
            <w:r w:rsidRPr="00F151B7">
              <w:rPr>
                <w:snapToGrid w:val="0"/>
                <w:sz w:val="18"/>
                <w:szCs w:val="18"/>
                <w:lang w:val="en-GB"/>
              </w:rPr>
              <w:t>1.2 g/kg) was modestly higher than that recommended. Total and milk (</w:t>
            </w:r>
            <w:r w:rsidRPr="00F151B7">
              <w:rPr>
                <w:rFonts w:ascii="Cambria Math" w:hAnsi="Cambria Math" w:cs="Cambria Math"/>
                <w:snapToGrid w:val="0"/>
                <w:sz w:val="18"/>
                <w:szCs w:val="18"/>
                <w:lang w:val="en-GB"/>
              </w:rPr>
              <w:t>∼</w:t>
            </w:r>
            <w:r w:rsidRPr="00F151B7">
              <w:rPr>
                <w:snapToGrid w:val="0"/>
                <w:sz w:val="18"/>
                <w:szCs w:val="18"/>
                <w:lang w:val="en-GB"/>
              </w:rPr>
              <w:t>0.3 g/kg) protein intake, but not meat protein intake (</w:t>
            </w:r>
            <w:r w:rsidRPr="00F151B7">
              <w:rPr>
                <w:rFonts w:ascii="Cambria Math" w:hAnsi="Cambria Math" w:cs="Cambria Math"/>
                <w:snapToGrid w:val="0"/>
                <w:sz w:val="18"/>
                <w:szCs w:val="18"/>
                <w:lang w:val="en-GB"/>
              </w:rPr>
              <w:t>∼</w:t>
            </w:r>
            <w:r w:rsidRPr="00F151B7">
              <w:rPr>
                <w:snapToGrid w:val="0"/>
                <w:sz w:val="18"/>
                <w:szCs w:val="18"/>
                <w:lang w:val="en-GB"/>
              </w:rPr>
              <w:t xml:space="preserve">0.4 g/kg), was positively associated with size-adjusted BMC (P≤0.05). The positive association between milk protein intake and size-adjusted BMC remained significant after correction for energy, calcium, and physical activity (P≤0.01) and did not seem to be mediated via current serum IGF-I. None of the </w:t>
            </w:r>
            <w:proofErr w:type="spellStart"/>
            <w:r w:rsidRPr="00F151B7">
              <w:rPr>
                <w:snapToGrid w:val="0"/>
                <w:sz w:val="18"/>
                <w:szCs w:val="18"/>
                <w:lang w:val="en-GB"/>
              </w:rPr>
              <w:t>analyzed</w:t>
            </w:r>
            <w:proofErr w:type="spellEnd"/>
            <w:r w:rsidRPr="00F151B7">
              <w:rPr>
                <w:snapToGrid w:val="0"/>
                <w:sz w:val="18"/>
                <w:szCs w:val="18"/>
                <w:lang w:val="en-GB"/>
              </w:rPr>
              <w:t xml:space="preserve"> protein sources was significantly associated with size-adjusted BA. Conclusions</w:t>
            </w:r>
            <w:r w:rsidR="00BE4911">
              <w:rPr>
                <w:snapToGrid w:val="0"/>
                <w:sz w:val="18"/>
                <w:szCs w:val="18"/>
                <w:lang w:val="en-GB"/>
              </w:rPr>
              <w:t>:</w:t>
            </w:r>
            <w:r w:rsidRPr="00F151B7">
              <w:rPr>
                <w:snapToGrid w:val="0"/>
                <w:sz w:val="18"/>
                <w:szCs w:val="18"/>
                <w:lang w:val="en-GB"/>
              </w:rPr>
              <w:t xml:space="preserve"> Our results suggest that some components of milk protein may promote bone mineralization. </w:t>
            </w:r>
          </w:p>
        </w:tc>
        <w:tc>
          <w:tcPr>
            <w:tcW w:w="1418" w:type="dxa"/>
          </w:tcPr>
          <w:p w:rsidR="00F151B7" w:rsidRPr="00F151B7" w:rsidRDefault="00F151B7" w:rsidP="00F151B7">
            <w:pPr>
              <w:autoSpaceDE w:val="0"/>
              <w:autoSpaceDN w:val="0"/>
              <w:adjustRightInd w:val="0"/>
              <w:rPr>
                <w:rFonts w:eastAsia="Calibri"/>
                <w:color w:val="141314"/>
                <w:sz w:val="18"/>
                <w:szCs w:val="18"/>
                <w:lang w:val="en-US" w:eastAsia="en-US"/>
              </w:rPr>
            </w:pPr>
            <w:r w:rsidRPr="00F151B7">
              <w:rPr>
                <w:rFonts w:eastAsia="Calibri"/>
                <w:color w:val="141314"/>
                <w:sz w:val="18"/>
                <w:szCs w:val="18"/>
                <w:lang w:val="en-US" w:eastAsia="en-US"/>
              </w:rPr>
              <w:lastRenderedPageBreak/>
              <w:t xml:space="preserve">Bone area, weight, height </w:t>
            </w:r>
            <w:r w:rsidRPr="00F151B7">
              <w:rPr>
                <w:rFonts w:eastAsia="Calibri"/>
                <w:color w:val="141314"/>
                <w:sz w:val="18"/>
                <w:szCs w:val="18"/>
                <w:lang w:val="en-US" w:eastAsia="en-US"/>
              </w:rPr>
              <w:lastRenderedPageBreak/>
              <w:t>and sex (model 1), and additional adjustment for calcium and energy intake, and physical activity (model 2)</w:t>
            </w:r>
          </w:p>
        </w:tc>
        <w:tc>
          <w:tcPr>
            <w:tcW w:w="1016" w:type="dxa"/>
          </w:tcPr>
          <w:p w:rsidR="00F151B7" w:rsidRPr="00F151B7" w:rsidRDefault="00F151B7" w:rsidP="00F151B7">
            <w:pPr>
              <w:pStyle w:val="Default"/>
              <w:rPr>
                <w:snapToGrid w:val="0"/>
                <w:sz w:val="18"/>
                <w:szCs w:val="18"/>
                <w:lang w:val="en-US"/>
              </w:rPr>
            </w:pPr>
            <w:r w:rsidRPr="00F151B7">
              <w:rPr>
                <w:snapToGrid w:val="0"/>
                <w:sz w:val="18"/>
                <w:szCs w:val="18"/>
                <w:lang w:val="en-US"/>
              </w:rPr>
              <w:lastRenderedPageBreak/>
              <w:t>B</w:t>
            </w:r>
          </w:p>
          <w:p w:rsidR="00F151B7" w:rsidRPr="00F151B7" w:rsidRDefault="00F151B7" w:rsidP="00F151B7">
            <w:pPr>
              <w:pStyle w:val="Default"/>
              <w:rPr>
                <w:snapToGrid w:val="0"/>
                <w:sz w:val="18"/>
                <w:szCs w:val="18"/>
                <w:lang w:val="en-US"/>
              </w:rPr>
            </w:pPr>
            <w:r w:rsidRPr="00F151B7">
              <w:rPr>
                <w:snapToGrid w:val="0"/>
                <w:sz w:val="18"/>
                <w:szCs w:val="18"/>
                <w:lang w:val="en-US"/>
              </w:rPr>
              <w:t xml:space="preserve">No power </w:t>
            </w:r>
            <w:r w:rsidRPr="00F151B7">
              <w:rPr>
                <w:snapToGrid w:val="0"/>
                <w:sz w:val="18"/>
                <w:szCs w:val="18"/>
                <w:lang w:val="en-US"/>
              </w:rPr>
              <w:lastRenderedPageBreak/>
              <w:t xml:space="preserve">calculation, no adjustment for </w:t>
            </w:r>
            <w:proofErr w:type="spellStart"/>
            <w:r w:rsidRPr="00F151B7">
              <w:rPr>
                <w:snapToGrid w:val="0"/>
                <w:sz w:val="18"/>
                <w:szCs w:val="18"/>
                <w:lang w:val="en-US"/>
              </w:rPr>
              <w:t>mis</w:t>
            </w:r>
            <w:proofErr w:type="spellEnd"/>
            <w:r w:rsidRPr="00F151B7">
              <w:rPr>
                <w:snapToGrid w:val="0"/>
                <w:sz w:val="18"/>
                <w:szCs w:val="18"/>
                <w:lang w:val="en-US"/>
              </w:rPr>
              <w:t>/underreporting, girls reported energy intake in lower range but OK</w:t>
            </w:r>
          </w:p>
        </w:tc>
      </w:tr>
      <w:tr w:rsidR="00F151B7" w:rsidRPr="00BE4911" w:rsidTr="00F151B7">
        <w:trPr>
          <w:trHeight w:val="522"/>
        </w:trPr>
        <w:tc>
          <w:tcPr>
            <w:tcW w:w="1089" w:type="dxa"/>
          </w:tcPr>
          <w:p w:rsidR="00836A18" w:rsidRDefault="00534085" w:rsidP="00F151B7">
            <w:pPr>
              <w:pStyle w:val="Default"/>
              <w:rPr>
                <w:snapToGrid w:val="0"/>
                <w:sz w:val="18"/>
                <w:szCs w:val="18"/>
                <w:lang w:val="en-GB"/>
              </w:rPr>
            </w:pPr>
            <w:proofErr w:type="spellStart"/>
            <w:r>
              <w:rPr>
                <w:snapToGrid w:val="0"/>
                <w:sz w:val="18"/>
                <w:szCs w:val="18"/>
                <w:lang w:val="en-GB"/>
              </w:rPr>
              <w:lastRenderedPageBreak/>
              <w:t>Budek</w:t>
            </w:r>
            <w:proofErr w:type="spellEnd"/>
            <w:r>
              <w:rPr>
                <w:snapToGrid w:val="0"/>
                <w:sz w:val="18"/>
                <w:szCs w:val="18"/>
                <w:lang w:val="en-GB"/>
              </w:rPr>
              <w:t>, 2007</w:t>
            </w:r>
          </w:p>
          <w:p w:rsidR="00F151B7" w:rsidRPr="00F151B7" w:rsidRDefault="00836A18" w:rsidP="00F151B7">
            <w:pPr>
              <w:pStyle w:val="Default"/>
              <w:rPr>
                <w:snapToGrid w:val="0"/>
                <w:sz w:val="18"/>
                <w:szCs w:val="18"/>
                <w:lang w:val="en-GB"/>
              </w:rPr>
            </w:pPr>
            <w:r>
              <w:rPr>
                <w:snapToGrid w:val="0"/>
                <w:sz w:val="18"/>
                <w:szCs w:val="18"/>
                <w:lang w:val="en-GB"/>
              </w:rPr>
              <w:lastRenderedPageBreak/>
              <w:t>(14)</w:t>
            </w:r>
          </w:p>
          <w:p w:rsidR="00F151B7" w:rsidRPr="00F151B7" w:rsidRDefault="00F151B7" w:rsidP="00F151B7">
            <w:pPr>
              <w:pStyle w:val="Default"/>
              <w:rPr>
                <w:snapToGrid w:val="0"/>
                <w:sz w:val="18"/>
                <w:szCs w:val="18"/>
                <w:lang w:val="en-GB"/>
              </w:rPr>
            </w:pPr>
            <w:r w:rsidRPr="00F151B7">
              <w:rPr>
                <w:snapToGrid w:val="0"/>
                <w:sz w:val="18"/>
                <w:szCs w:val="18"/>
                <w:lang w:val="en-GB"/>
              </w:rPr>
              <w:t>Denmark,</w:t>
            </w:r>
          </w:p>
          <w:p w:rsidR="00F151B7" w:rsidRPr="00F151B7" w:rsidRDefault="00F151B7" w:rsidP="00F151B7">
            <w:pPr>
              <w:pStyle w:val="Default"/>
              <w:rPr>
                <w:snapToGrid w:val="0"/>
                <w:sz w:val="18"/>
                <w:szCs w:val="18"/>
                <w:lang w:val="en-GB"/>
              </w:rPr>
            </w:pPr>
            <w:r w:rsidRPr="00F151B7">
              <w:rPr>
                <w:snapToGrid w:val="0"/>
                <w:sz w:val="18"/>
                <w:szCs w:val="18"/>
                <w:lang w:val="en-GB"/>
              </w:rPr>
              <w:t>Cross-sectional</w:t>
            </w:r>
          </w:p>
        </w:tc>
        <w:tc>
          <w:tcPr>
            <w:tcW w:w="167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Pre-pubertal boys (8-y) (Tanner stage </w:t>
            </w:r>
            <w:r w:rsidRPr="00F151B7">
              <w:rPr>
                <w:snapToGrid w:val="0"/>
                <w:sz w:val="18"/>
                <w:szCs w:val="18"/>
                <w:lang w:val="en-GB"/>
              </w:rPr>
              <w:lastRenderedPageBreak/>
              <w:t>1) born 1992 (n 28) and 1996 (n 68)</w:t>
            </w:r>
          </w:p>
          <w:p w:rsidR="00F151B7" w:rsidRPr="00F151B7" w:rsidRDefault="00F151B7" w:rsidP="00F151B7">
            <w:pPr>
              <w:pStyle w:val="Default"/>
              <w:rPr>
                <w:snapToGrid w:val="0"/>
                <w:sz w:val="18"/>
                <w:szCs w:val="18"/>
                <w:lang w:val="en-GB"/>
              </w:rPr>
            </w:pPr>
            <w:r w:rsidRPr="00F151B7">
              <w:rPr>
                <w:snapToGrid w:val="0"/>
                <w:sz w:val="18"/>
                <w:szCs w:val="18"/>
                <w:lang w:val="en-GB"/>
              </w:rPr>
              <w:t>In brief, 313 boys, born 1992, were randomly recruited through the Central Personal Register in 2000. Thirty boys agreed to participate in the study, 28 were eligible, and 24 completed the trail. The participants included in the study conducted in 2004–2005 were recruited through the Central Personal Register in 2004. From 831 boys born 1996, 89 agreed to participate, 68 were eligible, and 57 completed the trial. All participants were healthy, had normal growth, and did not take any medications known to affect bone metabolism and growth.</w:t>
            </w:r>
          </w:p>
        </w:tc>
        <w:tc>
          <w:tcPr>
            <w:tcW w:w="1537"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Concentrations of </w:t>
            </w:r>
            <w:proofErr w:type="spellStart"/>
            <w:r w:rsidRPr="00F151B7">
              <w:rPr>
                <w:snapToGrid w:val="0"/>
                <w:sz w:val="18"/>
                <w:szCs w:val="18"/>
                <w:lang w:val="en-GB"/>
              </w:rPr>
              <w:t>sIGF</w:t>
            </w:r>
            <w:proofErr w:type="spellEnd"/>
            <w:r w:rsidRPr="00F151B7">
              <w:rPr>
                <w:snapToGrid w:val="0"/>
                <w:sz w:val="18"/>
                <w:szCs w:val="18"/>
                <w:lang w:val="en-GB"/>
              </w:rPr>
              <w:t xml:space="preserve">-I and </w:t>
            </w:r>
            <w:r w:rsidRPr="00F151B7">
              <w:rPr>
                <w:snapToGrid w:val="0"/>
                <w:sz w:val="18"/>
                <w:szCs w:val="18"/>
                <w:lang w:val="en-GB"/>
              </w:rPr>
              <w:lastRenderedPageBreak/>
              <w:t xml:space="preserve">markers for bone-turnover (serum </w:t>
            </w:r>
            <w:proofErr w:type="spellStart"/>
            <w:r w:rsidRPr="00F151B7">
              <w:rPr>
                <w:snapToGrid w:val="0"/>
                <w:sz w:val="18"/>
                <w:szCs w:val="18"/>
                <w:lang w:val="en-GB"/>
              </w:rPr>
              <w:t>osteocalcin</w:t>
            </w:r>
            <w:proofErr w:type="spellEnd"/>
            <w:r w:rsidRPr="00F151B7">
              <w:rPr>
                <w:snapToGrid w:val="0"/>
                <w:sz w:val="18"/>
                <w:szCs w:val="18"/>
                <w:lang w:val="en-GB"/>
              </w:rPr>
              <w:t xml:space="preserve"> (s-OC), bone-specific alkaline phosphatase (s-BAP) and C-terminal </w:t>
            </w:r>
            <w:proofErr w:type="spellStart"/>
            <w:r w:rsidRPr="00F151B7">
              <w:rPr>
                <w:snapToGrid w:val="0"/>
                <w:sz w:val="18"/>
                <w:szCs w:val="18"/>
                <w:lang w:val="en-GB"/>
              </w:rPr>
              <w:t>telopeptides</w:t>
            </w:r>
            <w:proofErr w:type="spellEnd"/>
            <w:r w:rsidRPr="00F151B7">
              <w:rPr>
                <w:snapToGrid w:val="0"/>
                <w:sz w:val="18"/>
                <w:szCs w:val="18"/>
                <w:lang w:val="en-GB"/>
              </w:rPr>
              <w:t xml:space="preserve"> of type l collagen (s-CTX) measured by immunoassay) </w:t>
            </w:r>
          </w:p>
        </w:tc>
        <w:tc>
          <w:tcPr>
            <w:tcW w:w="1342"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Intake of total, dairy and meat </w:t>
            </w:r>
            <w:r w:rsidRPr="00F151B7">
              <w:rPr>
                <w:snapToGrid w:val="0"/>
                <w:sz w:val="18"/>
                <w:szCs w:val="18"/>
                <w:lang w:val="en-GB"/>
              </w:rPr>
              <w:lastRenderedPageBreak/>
              <w:t>protein</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Cross-sectional</w:t>
            </w:r>
          </w:p>
        </w:tc>
        <w:tc>
          <w:tcPr>
            <w:tcW w:w="1316"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3-d weighed food record (2 </w:t>
            </w:r>
            <w:r w:rsidRPr="00F151B7">
              <w:rPr>
                <w:snapToGrid w:val="0"/>
                <w:sz w:val="18"/>
                <w:szCs w:val="18"/>
                <w:lang w:val="en-GB"/>
              </w:rPr>
              <w:lastRenderedPageBreak/>
              <w:t>weekdays and 1 weekend day)</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 xml:space="preserve">In total, 96 boys were </w:t>
            </w:r>
            <w:r w:rsidRPr="00F151B7">
              <w:rPr>
                <w:snapToGrid w:val="0"/>
                <w:sz w:val="18"/>
                <w:szCs w:val="18"/>
                <w:lang w:val="en-GB"/>
              </w:rPr>
              <w:lastRenderedPageBreak/>
              <w:t>eligible and final baseline biochemical, dietary, and anthropometric data were obtained from 81 individuals. (84%)</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None</w:t>
            </w: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tc>
        <w:tc>
          <w:tcPr>
            <w:tcW w:w="1526"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Dairy protein was negatively </w:t>
            </w:r>
            <w:r w:rsidRPr="00F151B7">
              <w:rPr>
                <w:snapToGrid w:val="0"/>
                <w:sz w:val="18"/>
                <w:szCs w:val="18"/>
                <w:lang w:val="en-GB"/>
              </w:rPr>
              <w:lastRenderedPageBreak/>
              <w:t xml:space="preserve">associated with </w:t>
            </w:r>
            <w:proofErr w:type="spellStart"/>
            <w:r w:rsidRPr="00F151B7">
              <w:rPr>
                <w:snapToGrid w:val="0"/>
                <w:sz w:val="18"/>
                <w:szCs w:val="18"/>
                <w:lang w:val="en-GB"/>
              </w:rPr>
              <w:t>sOC</w:t>
            </w:r>
            <w:proofErr w:type="spellEnd"/>
            <w:r w:rsidRPr="00F151B7">
              <w:rPr>
                <w:snapToGrid w:val="0"/>
                <w:sz w:val="18"/>
                <w:szCs w:val="18"/>
                <w:lang w:val="en-GB"/>
              </w:rPr>
              <w:t xml:space="preserve"> (P=0.05) but not significantly associated with </w:t>
            </w:r>
            <w:proofErr w:type="spellStart"/>
            <w:r w:rsidRPr="00F151B7">
              <w:rPr>
                <w:snapToGrid w:val="0"/>
                <w:sz w:val="18"/>
                <w:szCs w:val="18"/>
                <w:lang w:val="en-GB"/>
              </w:rPr>
              <w:t>sBAP</w:t>
            </w:r>
            <w:proofErr w:type="spellEnd"/>
            <w:r w:rsidRPr="00F151B7">
              <w:rPr>
                <w:snapToGrid w:val="0"/>
                <w:sz w:val="18"/>
                <w:szCs w:val="18"/>
                <w:lang w:val="en-GB"/>
              </w:rPr>
              <w:t xml:space="preserve"> and </w:t>
            </w:r>
            <w:proofErr w:type="spellStart"/>
            <w:r w:rsidRPr="00F151B7">
              <w:rPr>
                <w:snapToGrid w:val="0"/>
                <w:sz w:val="18"/>
                <w:szCs w:val="18"/>
                <w:lang w:val="en-GB"/>
              </w:rPr>
              <w:t>sCTX</w:t>
            </w:r>
            <w:proofErr w:type="spellEnd"/>
            <w:r w:rsidRPr="00F151B7">
              <w:rPr>
                <w:snapToGrid w:val="0"/>
                <w:sz w:val="18"/>
                <w:szCs w:val="18"/>
                <w:lang w:val="en-GB"/>
              </w:rPr>
              <w:t xml:space="preserve">. Further analyses showed that dairy protein decreased (P=0.05) </w:t>
            </w:r>
            <w:proofErr w:type="spellStart"/>
            <w:r w:rsidRPr="00F151B7">
              <w:rPr>
                <w:snapToGrid w:val="0"/>
                <w:sz w:val="18"/>
                <w:szCs w:val="18"/>
                <w:lang w:val="en-GB"/>
              </w:rPr>
              <w:t>sOC</w:t>
            </w:r>
            <w:proofErr w:type="spellEnd"/>
            <w:r w:rsidRPr="00F151B7">
              <w:rPr>
                <w:snapToGrid w:val="0"/>
                <w:sz w:val="18"/>
                <w:szCs w:val="18"/>
                <w:lang w:val="en-GB"/>
              </w:rPr>
              <w:t xml:space="preserve"> at a high meat protein intake (&gt;0.8 g/kg), whereas meat protein increased (P=0.03) </w:t>
            </w:r>
            <w:proofErr w:type="spellStart"/>
            <w:r w:rsidRPr="00F151B7">
              <w:rPr>
                <w:snapToGrid w:val="0"/>
                <w:sz w:val="18"/>
                <w:szCs w:val="18"/>
                <w:lang w:val="en-GB"/>
              </w:rPr>
              <w:t>sOC</w:t>
            </w:r>
            <w:proofErr w:type="spellEnd"/>
            <w:r w:rsidRPr="00F151B7">
              <w:rPr>
                <w:snapToGrid w:val="0"/>
                <w:sz w:val="18"/>
                <w:szCs w:val="18"/>
                <w:lang w:val="en-GB"/>
              </w:rPr>
              <w:t xml:space="preserve"> at a low dairy protein intake (&lt;0.4 g/kg). Total and meat protein intake was positively associated with </w:t>
            </w:r>
            <w:proofErr w:type="spellStart"/>
            <w:r w:rsidRPr="00F151B7">
              <w:rPr>
                <w:snapToGrid w:val="0"/>
                <w:sz w:val="18"/>
                <w:szCs w:val="18"/>
                <w:lang w:val="en-GB"/>
              </w:rPr>
              <w:t>sBAP</w:t>
            </w:r>
            <w:proofErr w:type="spellEnd"/>
            <w:r w:rsidRPr="00F151B7">
              <w:rPr>
                <w:snapToGrid w:val="0"/>
                <w:sz w:val="18"/>
                <w:szCs w:val="18"/>
                <w:lang w:val="en-GB"/>
              </w:rPr>
              <w:t xml:space="preserve"> (P≤0.04) but not significantly associated with </w:t>
            </w:r>
            <w:proofErr w:type="spellStart"/>
            <w:r w:rsidRPr="00F151B7">
              <w:rPr>
                <w:snapToGrid w:val="0"/>
                <w:sz w:val="18"/>
                <w:szCs w:val="18"/>
                <w:lang w:val="en-GB"/>
              </w:rPr>
              <w:t>sOC</w:t>
            </w:r>
            <w:proofErr w:type="spellEnd"/>
            <w:r w:rsidRPr="00F151B7">
              <w:rPr>
                <w:snapToGrid w:val="0"/>
                <w:sz w:val="18"/>
                <w:szCs w:val="18"/>
                <w:lang w:val="en-GB"/>
              </w:rPr>
              <w:t xml:space="preserve"> and </w:t>
            </w:r>
            <w:proofErr w:type="spellStart"/>
            <w:r w:rsidRPr="00F151B7">
              <w:rPr>
                <w:snapToGrid w:val="0"/>
                <w:sz w:val="18"/>
                <w:szCs w:val="18"/>
                <w:lang w:val="en-GB"/>
              </w:rPr>
              <w:t>sCTX</w:t>
            </w:r>
            <w:proofErr w:type="spellEnd"/>
            <w:r w:rsidRPr="00F151B7">
              <w:rPr>
                <w:snapToGrid w:val="0"/>
                <w:sz w:val="18"/>
                <w:szCs w:val="18"/>
                <w:lang w:val="en-GB"/>
              </w:rPr>
              <w:t xml:space="preserve">. Free </w:t>
            </w:r>
            <w:proofErr w:type="spellStart"/>
            <w:r w:rsidRPr="00F151B7">
              <w:rPr>
                <w:snapToGrid w:val="0"/>
                <w:sz w:val="18"/>
                <w:szCs w:val="18"/>
                <w:lang w:val="en-GB"/>
              </w:rPr>
              <w:t>sIGF</w:t>
            </w:r>
            <w:proofErr w:type="spellEnd"/>
            <w:r w:rsidRPr="00F151B7">
              <w:rPr>
                <w:snapToGrid w:val="0"/>
                <w:sz w:val="18"/>
                <w:szCs w:val="18"/>
                <w:lang w:val="en-GB"/>
              </w:rPr>
              <w:t xml:space="preserve">-I was positively associated with total (P&lt;0.01) and dairy (P=0.06) protein but not with meat protein. Our results indicate that dairy and meat protein may exhibit a distinct regulatory effect on different markers for bone turnover. </w:t>
            </w:r>
          </w:p>
        </w:tc>
        <w:tc>
          <w:tcPr>
            <w:tcW w:w="1418" w:type="dxa"/>
          </w:tcPr>
          <w:p w:rsidR="00F151B7" w:rsidRPr="00F151B7" w:rsidRDefault="00F151B7" w:rsidP="00F151B7">
            <w:pPr>
              <w:pStyle w:val="Default"/>
              <w:rPr>
                <w:snapToGrid w:val="0"/>
                <w:sz w:val="18"/>
                <w:szCs w:val="18"/>
                <w:lang w:val="en-US"/>
              </w:rPr>
            </w:pPr>
            <w:r w:rsidRPr="00F151B7">
              <w:rPr>
                <w:snapToGrid w:val="0"/>
                <w:sz w:val="18"/>
                <w:szCs w:val="18"/>
                <w:lang w:val="en-US"/>
              </w:rPr>
              <w:lastRenderedPageBreak/>
              <w:t>Age, BMI, and energy intake</w:t>
            </w: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t>B</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Results </w:t>
            </w:r>
            <w:r w:rsidRPr="00F151B7">
              <w:rPr>
                <w:snapToGrid w:val="0"/>
                <w:sz w:val="18"/>
                <w:szCs w:val="18"/>
                <w:lang w:val="en-GB"/>
              </w:rPr>
              <w:lastRenderedPageBreak/>
              <w:t xml:space="preserve">not adjusted for </w:t>
            </w:r>
            <w:proofErr w:type="spellStart"/>
            <w:r w:rsidRPr="00F151B7">
              <w:rPr>
                <w:snapToGrid w:val="0"/>
                <w:sz w:val="18"/>
                <w:szCs w:val="18"/>
                <w:lang w:val="en-GB"/>
              </w:rPr>
              <w:t>mis</w:t>
            </w:r>
            <w:proofErr w:type="spellEnd"/>
            <w:r w:rsidRPr="00F151B7">
              <w:rPr>
                <w:snapToGrid w:val="0"/>
                <w:sz w:val="18"/>
                <w:szCs w:val="18"/>
                <w:lang w:val="en-GB"/>
              </w:rPr>
              <w:t>/underreporting, no power calculation.</w:t>
            </w:r>
          </w:p>
          <w:p w:rsidR="00F151B7" w:rsidRPr="00F151B7" w:rsidRDefault="00F151B7" w:rsidP="00F151B7">
            <w:pPr>
              <w:pStyle w:val="Default"/>
              <w:rPr>
                <w:snapToGrid w:val="0"/>
                <w:sz w:val="18"/>
                <w:szCs w:val="18"/>
                <w:lang w:val="en-GB"/>
              </w:rPr>
            </w:pPr>
            <w:r w:rsidRPr="00F151B7">
              <w:rPr>
                <w:snapToGrid w:val="0"/>
                <w:sz w:val="18"/>
                <w:szCs w:val="18"/>
                <w:lang w:val="en-GB"/>
              </w:rPr>
              <w:t>In discussion: "Meat protein intake was estimated from the intake of red meat, poultry and fish." Why is fish included? What about pork? Egg? "Plant protein intake was estimated from the difference between total protein intake and dairy, meat and egg protein intake."</w:t>
            </w:r>
          </w:p>
        </w:tc>
      </w:tr>
      <w:tr w:rsidR="00F151B7" w:rsidRPr="00BE4911" w:rsidTr="00F151B7">
        <w:trPr>
          <w:trHeight w:val="522"/>
        </w:trPr>
        <w:tc>
          <w:tcPr>
            <w:tcW w:w="1089" w:type="dxa"/>
          </w:tcPr>
          <w:p w:rsidR="00836A18" w:rsidRDefault="00F151B7" w:rsidP="00F151B7">
            <w:pPr>
              <w:pStyle w:val="Default"/>
              <w:rPr>
                <w:snapToGrid w:val="0"/>
                <w:sz w:val="18"/>
                <w:szCs w:val="18"/>
                <w:lang w:val="en-GB"/>
              </w:rPr>
            </w:pPr>
            <w:proofErr w:type="spellStart"/>
            <w:r w:rsidRPr="00F151B7">
              <w:rPr>
                <w:snapToGrid w:val="0"/>
                <w:sz w:val="18"/>
                <w:szCs w:val="18"/>
                <w:lang w:val="en-GB"/>
              </w:rPr>
              <w:lastRenderedPageBreak/>
              <w:t>Budek</w:t>
            </w:r>
            <w:proofErr w:type="spellEnd"/>
            <w:r w:rsidRPr="00F151B7">
              <w:rPr>
                <w:snapToGrid w:val="0"/>
                <w:sz w:val="18"/>
                <w:szCs w:val="18"/>
                <w:lang w:val="en-GB"/>
              </w:rPr>
              <w:t xml:space="preserve">, 2007, </w:t>
            </w:r>
          </w:p>
          <w:p w:rsidR="00836A18" w:rsidRDefault="00836A18" w:rsidP="00F151B7">
            <w:pPr>
              <w:pStyle w:val="Default"/>
              <w:rPr>
                <w:snapToGrid w:val="0"/>
                <w:sz w:val="18"/>
                <w:szCs w:val="18"/>
                <w:lang w:val="en-GB"/>
              </w:rPr>
            </w:pPr>
            <w:r>
              <w:rPr>
                <w:snapToGrid w:val="0"/>
                <w:sz w:val="18"/>
                <w:szCs w:val="18"/>
                <w:lang w:val="en-GB"/>
              </w:rPr>
              <w:t>(46)</w:t>
            </w:r>
          </w:p>
          <w:p w:rsidR="00F151B7" w:rsidRPr="00F151B7" w:rsidRDefault="00F151B7" w:rsidP="00F151B7">
            <w:pPr>
              <w:pStyle w:val="Default"/>
              <w:rPr>
                <w:snapToGrid w:val="0"/>
                <w:sz w:val="18"/>
                <w:szCs w:val="18"/>
                <w:lang w:val="en-GB"/>
              </w:rPr>
            </w:pPr>
            <w:r w:rsidRPr="00F151B7">
              <w:rPr>
                <w:snapToGrid w:val="0"/>
                <w:sz w:val="18"/>
                <w:szCs w:val="18"/>
                <w:lang w:val="en-GB"/>
              </w:rPr>
              <w:t>Denmark</w:t>
            </w:r>
          </w:p>
          <w:p w:rsidR="00F151B7" w:rsidRPr="00F151B7" w:rsidRDefault="00F151B7" w:rsidP="00F151B7">
            <w:pPr>
              <w:pStyle w:val="Default"/>
              <w:rPr>
                <w:snapToGrid w:val="0"/>
                <w:sz w:val="18"/>
                <w:szCs w:val="18"/>
                <w:lang w:val="en-GB"/>
              </w:rPr>
            </w:pPr>
            <w:r w:rsidRPr="00F151B7">
              <w:rPr>
                <w:snapToGrid w:val="0"/>
                <w:sz w:val="18"/>
                <w:szCs w:val="18"/>
                <w:lang w:val="en-GB"/>
              </w:rPr>
              <w:t>Short-term intervention study (7-days)</w:t>
            </w:r>
          </w:p>
        </w:tc>
        <w:tc>
          <w:tcPr>
            <w:tcW w:w="1676"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Pre-pubertal 8 y-old </w:t>
            </w:r>
            <w:proofErr w:type="gramStart"/>
            <w:r w:rsidRPr="00F151B7">
              <w:rPr>
                <w:snapToGrid w:val="0"/>
                <w:sz w:val="18"/>
                <w:szCs w:val="18"/>
                <w:lang w:val="en-GB"/>
              </w:rPr>
              <w:t>boys )</w:t>
            </w:r>
            <w:proofErr w:type="gramEnd"/>
            <w:r w:rsidRPr="00F151B7">
              <w:rPr>
                <w:snapToGrid w:val="0"/>
                <w:sz w:val="18"/>
                <w:szCs w:val="18"/>
                <w:lang w:val="en-GB"/>
              </w:rPr>
              <w:t xml:space="preserve"> (Tanner stage 1) randomly recruited through the Central Personal Register from Copenhagen and </w:t>
            </w:r>
            <w:proofErr w:type="spellStart"/>
            <w:r w:rsidRPr="00F151B7">
              <w:rPr>
                <w:snapToGrid w:val="0"/>
                <w:sz w:val="18"/>
                <w:szCs w:val="18"/>
                <w:lang w:val="en-GB"/>
              </w:rPr>
              <w:t>Fredriksberg</w:t>
            </w:r>
            <w:proofErr w:type="spellEnd"/>
            <w:r w:rsidRPr="00F151B7">
              <w:rPr>
                <w:snapToGrid w:val="0"/>
                <w:sz w:val="18"/>
                <w:szCs w:val="18"/>
                <w:lang w:val="en-GB"/>
              </w:rPr>
              <w:t xml:space="preserve"> area between September and October 2000.</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313 invited subjects, 30 agreed to participate and 28 were eligible.</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Inclusion: healthy, normal growth, habitual daily milk intake &gt; 500 ml, did not take any medications known to affect growth and bone metabolism.</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Height and weight (light clothing) measured (at baseline and after 7 d? – refer to baseline values and weight data at 7 d)</w:t>
            </w:r>
          </w:p>
        </w:tc>
        <w:tc>
          <w:tcPr>
            <w:tcW w:w="1537" w:type="dxa"/>
          </w:tcPr>
          <w:p w:rsidR="00F151B7" w:rsidRPr="00F151B7" w:rsidRDefault="00F151B7" w:rsidP="00F151B7">
            <w:pPr>
              <w:pStyle w:val="Default"/>
              <w:rPr>
                <w:snapToGrid w:val="0"/>
                <w:sz w:val="18"/>
                <w:szCs w:val="18"/>
                <w:lang w:val="en-GB"/>
              </w:rPr>
            </w:pPr>
            <w:r w:rsidRPr="00F151B7">
              <w:rPr>
                <w:snapToGrid w:val="0"/>
                <w:sz w:val="18"/>
                <w:szCs w:val="18"/>
                <w:lang w:val="en-GB"/>
              </w:rPr>
              <w:t>Markers for bone-turnover:</w:t>
            </w:r>
          </w:p>
          <w:p w:rsidR="00F151B7" w:rsidRPr="00F151B7" w:rsidRDefault="00BE4911" w:rsidP="00F151B7">
            <w:pPr>
              <w:pStyle w:val="Default"/>
              <w:rPr>
                <w:snapToGrid w:val="0"/>
                <w:sz w:val="18"/>
                <w:szCs w:val="18"/>
                <w:lang w:val="en-GB"/>
              </w:rPr>
            </w:pPr>
            <w:r>
              <w:rPr>
                <w:snapToGrid w:val="0"/>
                <w:sz w:val="18"/>
                <w:szCs w:val="18"/>
                <w:lang w:val="en-GB"/>
              </w:rPr>
              <w:t xml:space="preserve">Serum </w:t>
            </w:r>
            <w:proofErr w:type="spellStart"/>
            <w:r>
              <w:rPr>
                <w:snapToGrid w:val="0"/>
                <w:sz w:val="18"/>
                <w:szCs w:val="18"/>
                <w:lang w:val="en-GB"/>
              </w:rPr>
              <w:t>osteocalcin</w:t>
            </w:r>
            <w:proofErr w:type="spellEnd"/>
            <w:r>
              <w:rPr>
                <w:snapToGrid w:val="0"/>
                <w:sz w:val="18"/>
                <w:szCs w:val="18"/>
                <w:lang w:val="en-GB"/>
              </w:rPr>
              <w:t xml:space="preserve"> (</w:t>
            </w:r>
            <w:proofErr w:type="spellStart"/>
            <w:r>
              <w:rPr>
                <w:snapToGrid w:val="0"/>
                <w:sz w:val="18"/>
                <w:szCs w:val="18"/>
                <w:lang w:val="en-GB"/>
              </w:rPr>
              <w:t>s</w:t>
            </w:r>
            <w:r w:rsidR="00F151B7" w:rsidRPr="00F151B7">
              <w:rPr>
                <w:snapToGrid w:val="0"/>
                <w:sz w:val="18"/>
                <w:szCs w:val="18"/>
                <w:lang w:val="en-GB"/>
              </w:rPr>
              <w:t>OC</w:t>
            </w:r>
            <w:proofErr w:type="spellEnd"/>
            <w:r w:rsidR="00F151B7" w:rsidRPr="00F151B7">
              <w:rPr>
                <w:snapToGrid w:val="0"/>
                <w:sz w:val="18"/>
                <w:szCs w:val="18"/>
                <w:lang w:val="en-GB"/>
              </w:rPr>
              <w:t>), bone-s</w:t>
            </w:r>
            <w:r>
              <w:rPr>
                <w:snapToGrid w:val="0"/>
                <w:sz w:val="18"/>
                <w:szCs w:val="18"/>
                <w:lang w:val="en-GB"/>
              </w:rPr>
              <w:t>pecific alkaline phosphatase (</w:t>
            </w:r>
            <w:proofErr w:type="spellStart"/>
            <w:r>
              <w:rPr>
                <w:snapToGrid w:val="0"/>
                <w:sz w:val="18"/>
                <w:szCs w:val="18"/>
                <w:lang w:val="en-GB"/>
              </w:rPr>
              <w:t>sBAP</w:t>
            </w:r>
            <w:proofErr w:type="spellEnd"/>
            <w:r>
              <w:rPr>
                <w:snapToGrid w:val="0"/>
                <w:sz w:val="18"/>
                <w:szCs w:val="18"/>
                <w:lang w:val="en-GB"/>
              </w:rPr>
              <w:t xml:space="preserve">) and </w:t>
            </w:r>
            <w:proofErr w:type="spellStart"/>
            <w:r>
              <w:rPr>
                <w:snapToGrid w:val="0"/>
                <w:sz w:val="18"/>
                <w:szCs w:val="18"/>
                <w:lang w:val="en-GB"/>
              </w:rPr>
              <w:t>C</w:t>
            </w:r>
            <w:r w:rsidR="00F151B7" w:rsidRPr="00F151B7">
              <w:rPr>
                <w:snapToGrid w:val="0"/>
                <w:sz w:val="18"/>
                <w:szCs w:val="18"/>
                <w:lang w:val="en-GB"/>
              </w:rPr>
              <w:t>terminal</w:t>
            </w:r>
            <w:proofErr w:type="spellEnd"/>
            <w:r w:rsidR="00F151B7" w:rsidRPr="00F151B7">
              <w:rPr>
                <w:snapToGrid w:val="0"/>
                <w:sz w:val="18"/>
                <w:szCs w:val="18"/>
                <w:lang w:val="en-GB"/>
              </w:rPr>
              <w:t xml:space="preserve"> </w:t>
            </w:r>
            <w:proofErr w:type="spellStart"/>
            <w:r w:rsidR="00F151B7" w:rsidRPr="00F151B7">
              <w:rPr>
                <w:snapToGrid w:val="0"/>
                <w:sz w:val="18"/>
                <w:szCs w:val="18"/>
                <w:lang w:val="en-GB"/>
              </w:rPr>
              <w:t>telopeptides</w:t>
            </w:r>
            <w:proofErr w:type="spellEnd"/>
            <w:r w:rsidR="00F151B7" w:rsidRPr="00F151B7">
              <w:rPr>
                <w:snapToGrid w:val="0"/>
                <w:sz w:val="18"/>
                <w:szCs w:val="18"/>
                <w:lang w:val="en-GB"/>
              </w:rPr>
              <w:t xml:space="preserve"> of typ</w:t>
            </w:r>
            <w:r>
              <w:rPr>
                <w:snapToGrid w:val="0"/>
                <w:sz w:val="18"/>
                <w:szCs w:val="18"/>
                <w:lang w:val="en-GB"/>
              </w:rPr>
              <w:t>e l collagen (s</w:t>
            </w:r>
            <w:bookmarkStart w:id="0" w:name="_GoBack"/>
            <w:bookmarkEnd w:id="0"/>
            <w:r w:rsidR="00F151B7" w:rsidRPr="00F151B7">
              <w:rPr>
                <w:snapToGrid w:val="0"/>
                <w:sz w:val="18"/>
                <w:szCs w:val="18"/>
                <w:lang w:val="en-GB"/>
              </w:rPr>
              <w:t>CTX) measured by immunoassay</w:t>
            </w:r>
          </w:p>
        </w:tc>
        <w:tc>
          <w:tcPr>
            <w:tcW w:w="1342" w:type="dxa"/>
          </w:tcPr>
          <w:p w:rsidR="00F151B7" w:rsidRPr="00F151B7" w:rsidRDefault="00F151B7" w:rsidP="00F151B7">
            <w:pPr>
              <w:pStyle w:val="Default"/>
              <w:rPr>
                <w:snapToGrid w:val="0"/>
                <w:sz w:val="18"/>
                <w:szCs w:val="18"/>
                <w:lang w:val="en-GB"/>
              </w:rPr>
            </w:pPr>
            <w:r w:rsidRPr="00F151B7">
              <w:rPr>
                <w:snapToGrid w:val="0"/>
                <w:sz w:val="18"/>
                <w:szCs w:val="18"/>
                <w:lang w:val="en-GB"/>
              </w:rPr>
              <w:t>Protein intake</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One group: Milk (1.5 l/day) and the other group:</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meat (250 g/d) </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Otherwise, habitual diet.</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Milk intervention: November 2000</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Meat intervention: March 2001</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t>7 days (short-term)</w:t>
            </w:r>
          </w:p>
        </w:tc>
        <w:tc>
          <w:tcPr>
            <w:tcW w:w="1316" w:type="dxa"/>
          </w:tcPr>
          <w:p w:rsidR="00F151B7" w:rsidRPr="00F151B7" w:rsidRDefault="00F151B7" w:rsidP="00F151B7">
            <w:pPr>
              <w:pStyle w:val="Default"/>
              <w:rPr>
                <w:snapToGrid w:val="0"/>
                <w:sz w:val="18"/>
                <w:szCs w:val="18"/>
                <w:lang w:val="en-GB"/>
              </w:rPr>
            </w:pPr>
            <w:r w:rsidRPr="00F151B7">
              <w:rPr>
                <w:snapToGrid w:val="0"/>
                <w:sz w:val="18"/>
                <w:szCs w:val="18"/>
                <w:lang w:val="en-GB"/>
              </w:rPr>
              <w:t>3-day weighed food record</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N</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(Logarithmic transformation when assumptions for normality did not hold </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t>24 boys</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I:  The first 14 were assigned to the milk group: asked to consume 1.5 l skimmed milk per day, the next 14 to the meat group: asked to consume 250 low-fat </w:t>
            </w:r>
            <w:proofErr w:type="gramStart"/>
            <w:r w:rsidRPr="00F151B7">
              <w:rPr>
                <w:snapToGrid w:val="0"/>
                <w:sz w:val="18"/>
                <w:szCs w:val="18"/>
                <w:lang w:val="en-GB"/>
              </w:rPr>
              <w:t>meat</w:t>
            </w:r>
            <w:proofErr w:type="gramEnd"/>
            <w:r w:rsidRPr="00F151B7">
              <w:rPr>
                <w:snapToGrid w:val="0"/>
                <w:sz w:val="18"/>
                <w:szCs w:val="18"/>
                <w:lang w:val="en-GB"/>
              </w:rPr>
              <w:t xml:space="preserve"> per day. </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Both milk and meat supplements contained 53 g protein.</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After the intervention, daily protein intake increased by 53 g in the milk group and by 42 g in the meat group. </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Measurement after 7 days</w:t>
            </w:r>
          </w:p>
          <w:p w:rsidR="00F151B7" w:rsidRPr="00F151B7" w:rsidRDefault="00F151B7" w:rsidP="00F151B7">
            <w:pPr>
              <w:pStyle w:val="Default"/>
              <w:rPr>
                <w:snapToGrid w:val="0"/>
                <w:sz w:val="18"/>
                <w:szCs w:val="18"/>
                <w:lang w:val="en-GB"/>
              </w:rPr>
            </w:pPr>
            <w:r w:rsidRPr="00F151B7">
              <w:rPr>
                <w:snapToGrid w:val="0"/>
                <w:sz w:val="18"/>
                <w:szCs w:val="18"/>
                <w:lang w:val="en-GB"/>
              </w:rPr>
              <w:t>313 invited, 30 agreed to take part, 28 eligible (14 in each group, 12 in each group completed study)</w:t>
            </w:r>
          </w:p>
        </w:tc>
        <w:tc>
          <w:tcPr>
            <w:tcW w:w="1526" w:type="dxa"/>
          </w:tcPr>
          <w:p w:rsidR="00F151B7" w:rsidRPr="00F151B7" w:rsidRDefault="00BE4911" w:rsidP="00F151B7">
            <w:pPr>
              <w:pStyle w:val="Default"/>
              <w:rPr>
                <w:snapToGrid w:val="0"/>
                <w:sz w:val="18"/>
                <w:szCs w:val="18"/>
                <w:lang w:val="en-GB"/>
              </w:rPr>
            </w:pPr>
            <w:r>
              <w:rPr>
                <w:snapToGrid w:val="0"/>
                <w:sz w:val="18"/>
                <w:szCs w:val="18"/>
                <w:lang w:val="en-GB"/>
              </w:rPr>
              <w:t xml:space="preserve">Baseline </w:t>
            </w:r>
            <w:proofErr w:type="spellStart"/>
            <w:r>
              <w:rPr>
                <w:snapToGrid w:val="0"/>
                <w:sz w:val="18"/>
                <w:szCs w:val="18"/>
                <w:lang w:val="en-GB"/>
              </w:rPr>
              <w:t>sOC</w:t>
            </w:r>
            <w:proofErr w:type="spellEnd"/>
            <w:r>
              <w:rPr>
                <w:snapToGrid w:val="0"/>
                <w:sz w:val="18"/>
                <w:szCs w:val="18"/>
                <w:lang w:val="en-GB"/>
              </w:rPr>
              <w:t xml:space="preserve">, </w:t>
            </w:r>
            <w:proofErr w:type="spellStart"/>
            <w:r>
              <w:rPr>
                <w:snapToGrid w:val="0"/>
                <w:sz w:val="18"/>
                <w:szCs w:val="18"/>
                <w:lang w:val="en-GB"/>
              </w:rPr>
              <w:t>sBAP</w:t>
            </w:r>
            <w:proofErr w:type="spellEnd"/>
            <w:r>
              <w:rPr>
                <w:snapToGrid w:val="0"/>
                <w:sz w:val="18"/>
                <w:szCs w:val="18"/>
                <w:lang w:val="en-GB"/>
              </w:rPr>
              <w:t xml:space="preserve"> and </w:t>
            </w:r>
            <w:proofErr w:type="spellStart"/>
            <w:r>
              <w:rPr>
                <w:snapToGrid w:val="0"/>
                <w:sz w:val="18"/>
                <w:szCs w:val="18"/>
                <w:lang w:val="en-GB"/>
              </w:rPr>
              <w:t>s</w:t>
            </w:r>
            <w:r w:rsidR="00F151B7" w:rsidRPr="00F151B7">
              <w:rPr>
                <w:snapToGrid w:val="0"/>
                <w:sz w:val="18"/>
                <w:szCs w:val="18"/>
                <w:lang w:val="en-GB"/>
              </w:rPr>
              <w:t>CTX</w:t>
            </w:r>
            <w:proofErr w:type="spellEnd"/>
            <w:r w:rsidR="00F151B7" w:rsidRPr="00F151B7">
              <w:rPr>
                <w:snapToGrid w:val="0"/>
                <w:sz w:val="18"/>
                <w:szCs w:val="18"/>
                <w:lang w:val="en-GB"/>
              </w:rPr>
              <w:t xml:space="preserve"> were not sign different between the groups. After 7 days, the average protein intake increased in both groups by 47.5 g; the milk group had higher (P&lt;0.0001) calcium intak</w:t>
            </w:r>
            <w:r>
              <w:rPr>
                <w:snapToGrid w:val="0"/>
                <w:sz w:val="18"/>
                <w:szCs w:val="18"/>
                <w:lang w:val="en-GB"/>
              </w:rPr>
              <w:t xml:space="preserve">e; </w:t>
            </w:r>
            <w:proofErr w:type="spellStart"/>
            <w:r>
              <w:rPr>
                <w:snapToGrid w:val="0"/>
                <w:sz w:val="18"/>
                <w:szCs w:val="18"/>
                <w:lang w:val="en-GB"/>
              </w:rPr>
              <w:t>sOC</w:t>
            </w:r>
            <w:proofErr w:type="spellEnd"/>
            <w:r>
              <w:rPr>
                <w:snapToGrid w:val="0"/>
                <w:sz w:val="18"/>
                <w:szCs w:val="18"/>
                <w:lang w:val="en-GB"/>
              </w:rPr>
              <w:t xml:space="preserve"> and </w:t>
            </w:r>
            <w:proofErr w:type="spellStart"/>
            <w:r>
              <w:rPr>
                <w:snapToGrid w:val="0"/>
                <w:sz w:val="18"/>
                <w:szCs w:val="18"/>
                <w:lang w:val="en-GB"/>
              </w:rPr>
              <w:t>s</w:t>
            </w:r>
            <w:r w:rsidR="00F151B7" w:rsidRPr="00F151B7">
              <w:rPr>
                <w:snapToGrid w:val="0"/>
                <w:sz w:val="18"/>
                <w:szCs w:val="18"/>
                <w:lang w:val="en-GB"/>
              </w:rPr>
              <w:t>CTX</w:t>
            </w:r>
            <w:proofErr w:type="spellEnd"/>
            <w:r w:rsidR="00F151B7" w:rsidRPr="00F151B7">
              <w:rPr>
                <w:snapToGrid w:val="0"/>
                <w:sz w:val="18"/>
                <w:szCs w:val="18"/>
                <w:lang w:val="en-GB"/>
              </w:rPr>
              <w:t xml:space="preserve"> decreased (P</w:t>
            </w:r>
            <w:r w:rsidR="00F151B7" w:rsidRPr="00F151B7">
              <w:rPr>
                <w:snapToGrid w:val="0"/>
                <w:sz w:val="18"/>
                <w:szCs w:val="18"/>
                <w:u w:val="single"/>
                <w:lang w:val="en-GB"/>
              </w:rPr>
              <w:t>&lt;</w:t>
            </w:r>
            <w:r w:rsidR="00F151B7" w:rsidRPr="00F151B7">
              <w:rPr>
                <w:snapToGrid w:val="0"/>
                <w:sz w:val="18"/>
                <w:szCs w:val="18"/>
                <w:lang w:val="en-GB"/>
              </w:rPr>
              <w:t>0.04) in the milk group (-30.9%; -18.7 %, respectively</w:t>
            </w:r>
            <w:proofErr w:type="gramStart"/>
            <w:r w:rsidR="00F151B7" w:rsidRPr="00F151B7">
              <w:rPr>
                <w:snapToGrid w:val="0"/>
                <w:sz w:val="18"/>
                <w:szCs w:val="18"/>
                <w:lang w:val="en-GB"/>
              </w:rPr>
              <w:t>)  compared</w:t>
            </w:r>
            <w:proofErr w:type="gramEnd"/>
            <w:r w:rsidR="00F151B7" w:rsidRPr="00F151B7">
              <w:rPr>
                <w:snapToGrid w:val="0"/>
                <w:sz w:val="18"/>
                <w:szCs w:val="18"/>
                <w:lang w:val="en-GB"/>
              </w:rPr>
              <w:t xml:space="preserve"> with the meat group (+6.4%;-1.0%, respectively) and s-BAP decreased (P=0.06) both in the milk (-3.9%) and the meat group (-7.5%).</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The boys in the milk group had significantly higher calcium intake compared with the meat group and this could also affect the decline observed in bone turnover in the milk group.</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Whether this decline promotes </w:t>
            </w:r>
            <w:r w:rsidRPr="00F151B7">
              <w:rPr>
                <w:snapToGrid w:val="0"/>
                <w:sz w:val="18"/>
                <w:szCs w:val="18"/>
                <w:lang w:val="en-GB"/>
              </w:rPr>
              <w:lastRenderedPageBreak/>
              <w:t>higher bone mineral accretion during growth needs to be further studied according to the authors.</w:t>
            </w:r>
          </w:p>
        </w:tc>
        <w:tc>
          <w:tcPr>
            <w:tcW w:w="1418"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Multiple linear regression models, adjusted for base line value of each of the variable and baseline carbohydrate and fat intake (expressed as E%) and baseline insulin-like growth factor binding protein-3 (IGFBP-3) that were significantly different between groups.</w:t>
            </w:r>
          </w:p>
          <w:p w:rsidR="00F151B7" w:rsidRPr="00F151B7" w:rsidRDefault="00F151B7" w:rsidP="00F151B7">
            <w:pPr>
              <w:pStyle w:val="Default"/>
              <w:rPr>
                <w:snapToGrid w:val="0"/>
                <w:sz w:val="18"/>
                <w:szCs w:val="18"/>
                <w:lang w:val="en-GB"/>
              </w:rPr>
            </w:pP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t>B</w:t>
            </w:r>
          </w:p>
          <w:p w:rsidR="00F151B7" w:rsidRPr="00F151B7" w:rsidRDefault="00F151B7" w:rsidP="00F151B7">
            <w:pPr>
              <w:pStyle w:val="Default"/>
              <w:rPr>
                <w:snapToGrid w:val="0"/>
                <w:sz w:val="18"/>
                <w:szCs w:val="18"/>
                <w:lang w:val="en-GB"/>
              </w:rPr>
            </w:pPr>
            <w:r w:rsidRPr="00F151B7">
              <w:rPr>
                <w:snapToGrid w:val="0"/>
                <w:sz w:val="18"/>
                <w:szCs w:val="18"/>
                <w:lang w:val="en-GB"/>
              </w:rPr>
              <w:t>No randomisation made (although states randomly recruited). No power calculation</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Compliance is not reported. It is stated that protein intake is increased but nothing about how much of the additional 15 dl of milk/250 g of meat was actually </w:t>
            </w:r>
            <w:proofErr w:type="gramStart"/>
            <w:r w:rsidRPr="00F151B7">
              <w:rPr>
                <w:snapToGrid w:val="0"/>
                <w:sz w:val="18"/>
                <w:szCs w:val="18"/>
                <w:lang w:val="en-GB"/>
              </w:rPr>
              <w:t>taken,</w:t>
            </w:r>
            <w:proofErr w:type="gramEnd"/>
            <w:r w:rsidRPr="00F151B7">
              <w:rPr>
                <w:snapToGrid w:val="0"/>
                <w:sz w:val="18"/>
                <w:szCs w:val="18"/>
                <w:lang w:val="en-GB"/>
              </w:rPr>
              <w:t xml:space="preserve"> and very little about if and how their habitual diet changed. (1.5 l skim milk = 2.3 MJ and +23% of mean energy </w:t>
            </w:r>
            <w:r w:rsidRPr="00F151B7">
              <w:rPr>
                <w:snapToGrid w:val="0"/>
                <w:sz w:val="18"/>
                <w:szCs w:val="18"/>
                <w:lang w:val="en-GB"/>
              </w:rPr>
              <w:lastRenderedPageBreak/>
              <w:t xml:space="preserve">intake, 250 g meat = </w:t>
            </w:r>
            <w:proofErr w:type="spellStart"/>
            <w:r w:rsidRPr="00F151B7">
              <w:rPr>
                <w:snapToGrid w:val="0"/>
                <w:sz w:val="18"/>
                <w:szCs w:val="18"/>
                <w:lang w:val="en-GB"/>
              </w:rPr>
              <w:t>ca</w:t>
            </w:r>
            <w:proofErr w:type="spellEnd"/>
            <w:r w:rsidRPr="00F151B7">
              <w:rPr>
                <w:snapToGrid w:val="0"/>
                <w:sz w:val="18"/>
                <w:szCs w:val="18"/>
                <w:lang w:val="en-GB"/>
              </w:rPr>
              <w:t xml:space="preserve"> 1.6 MJ and +16% of mean energy intake. The average increase was total + 13% in the milk group and +3% in the meat group). </w:t>
            </w:r>
          </w:p>
        </w:tc>
      </w:tr>
      <w:tr w:rsidR="00F151B7" w:rsidRPr="00BE4911" w:rsidTr="00F151B7">
        <w:trPr>
          <w:trHeight w:val="522"/>
        </w:trPr>
        <w:tc>
          <w:tcPr>
            <w:tcW w:w="1089" w:type="dxa"/>
          </w:tcPr>
          <w:p w:rsidR="00836A18" w:rsidRDefault="00F151B7" w:rsidP="00F151B7">
            <w:pPr>
              <w:pStyle w:val="Default"/>
              <w:rPr>
                <w:snapToGrid w:val="0"/>
                <w:sz w:val="18"/>
                <w:szCs w:val="18"/>
                <w:lang w:val="en-GB"/>
              </w:rPr>
            </w:pPr>
            <w:proofErr w:type="spellStart"/>
            <w:r w:rsidRPr="00F151B7">
              <w:rPr>
                <w:snapToGrid w:val="0"/>
                <w:sz w:val="18"/>
                <w:szCs w:val="18"/>
                <w:lang w:val="en-GB"/>
              </w:rPr>
              <w:lastRenderedPageBreak/>
              <w:t>Chevalley</w:t>
            </w:r>
            <w:proofErr w:type="spellEnd"/>
            <w:r w:rsidRPr="00F151B7">
              <w:rPr>
                <w:snapToGrid w:val="0"/>
                <w:sz w:val="18"/>
                <w:szCs w:val="18"/>
                <w:lang w:val="en-GB"/>
              </w:rPr>
              <w:t xml:space="preserve"> (2008), </w:t>
            </w:r>
          </w:p>
          <w:p w:rsidR="00F151B7" w:rsidRPr="00F151B7" w:rsidRDefault="00836A18" w:rsidP="00F151B7">
            <w:pPr>
              <w:pStyle w:val="Default"/>
              <w:rPr>
                <w:snapToGrid w:val="0"/>
                <w:sz w:val="18"/>
                <w:szCs w:val="18"/>
                <w:lang w:val="en-GB"/>
              </w:rPr>
            </w:pPr>
            <w:r>
              <w:rPr>
                <w:snapToGrid w:val="0"/>
                <w:sz w:val="18"/>
                <w:szCs w:val="18"/>
                <w:lang w:val="en-GB"/>
              </w:rPr>
              <w:t>(excluded)</w:t>
            </w:r>
          </w:p>
          <w:p w:rsidR="00F151B7" w:rsidRPr="00F151B7" w:rsidRDefault="00F151B7" w:rsidP="00F151B7">
            <w:pPr>
              <w:pStyle w:val="Default"/>
              <w:rPr>
                <w:snapToGrid w:val="0"/>
                <w:sz w:val="18"/>
                <w:szCs w:val="18"/>
                <w:lang w:val="en-GB"/>
              </w:rPr>
            </w:pPr>
            <w:r w:rsidRPr="00F151B7">
              <w:rPr>
                <w:snapToGrid w:val="0"/>
                <w:sz w:val="18"/>
                <w:szCs w:val="18"/>
                <w:lang w:val="en-GB"/>
              </w:rPr>
              <w:t>Cross-sectional</w:t>
            </w:r>
          </w:p>
          <w:p w:rsidR="00F151B7" w:rsidRPr="00F151B7" w:rsidRDefault="00F151B7" w:rsidP="00F151B7">
            <w:pPr>
              <w:pStyle w:val="Default"/>
              <w:rPr>
                <w:snapToGrid w:val="0"/>
                <w:sz w:val="18"/>
                <w:szCs w:val="18"/>
                <w:lang w:val="en-GB"/>
              </w:rPr>
            </w:pPr>
            <w:r w:rsidRPr="00F151B7">
              <w:rPr>
                <w:snapToGrid w:val="0"/>
                <w:sz w:val="18"/>
                <w:szCs w:val="18"/>
                <w:lang w:val="en-GB"/>
              </w:rPr>
              <w:t>Switzerland</w:t>
            </w:r>
          </w:p>
        </w:tc>
        <w:tc>
          <w:tcPr>
            <w:tcW w:w="1676" w:type="dxa"/>
          </w:tcPr>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Healthy </w:t>
            </w:r>
            <w:proofErr w:type="spellStart"/>
            <w:r w:rsidRPr="00F151B7">
              <w:rPr>
                <w:rFonts w:eastAsia="Calibri"/>
                <w:sz w:val="18"/>
                <w:szCs w:val="18"/>
                <w:lang w:val="en-US" w:eastAsia="en-US"/>
              </w:rPr>
              <w:t>prepubertal</w:t>
            </w:r>
            <w:proofErr w:type="spellEnd"/>
            <w:r w:rsidRPr="00F151B7">
              <w:rPr>
                <w:rFonts w:eastAsia="Calibri"/>
                <w:sz w:val="18"/>
                <w:szCs w:val="18"/>
                <w:lang w:val="en-US" w:eastAsia="en-US"/>
              </w:rPr>
              <w:t xml:space="preserve"> white boys with a mean age of 7.44 ± 0.39 (SD) </w:t>
            </w:r>
            <w:proofErr w:type="spellStart"/>
            <w:r w:rsidRPr="00F151B7">
              <w:rPr>
                <w:rFonts w:eastAsia="Calibri"/>
                <w:sz w:val="18"/>
                <w:szCs w:val="18"/>
                <w:lang w:val="en-US" w:eastAsia="en-US"/>
              </w:rPr>
              <w:t>yr</w:t>
            </w:r>
            <w:proofErr w:type="spellEnd"/>
            <w:r w:rsidRPr="00F151B7">
              <w:rPr>
                <w:rFonts w:eastAsia="Calibri"/>
                <w:sz w:val="18"/>
                <w:szCs w:val="18"/>
                <w:lang w:val="en-US" w:eastAsia="en-US"/>
              </w:rPr>
              <w:t xml:space="preserve"> (range: 6.5–8.5 </w:t>
            </w:r>
            <w:proofErr w:type="spellStart"/>
            <w:r w:rsidRPr="00F151B7">
              <w:rPr>
                <w:rFonts w:eastAsia="Calibri"/>
                <w:sz w:val="18"/>
                <w:szCs w:val="18"/>
                <w:lang w:val="en-US" w:eastAsia="en-US"/>
              </w:rPr>
              <w:t>yr</w:t>
            </w:r>
            <w:proofErr w:type="spellEnd"/>
            <w:r w:rsidRPr="00F151B7">
              <w:rPr>
                <w:rFonts w:eastAsia="Calibri"/>
                <w:sz w:val="18"/>
                <w:szCs w:val="18"/>
                <w:lang w:val="en-US" w:eastAsia="en-US"/>
              </w:rPr>
              <w:t xml:space="preserve">) were recruited through the Public Health Youth Service of the Geneva region from September 1999 to September 2000. </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Exclusion criteria: ratio weight/height &lt;3rd or &gt;97th percentile according to Geneva reference values; presence of physical signs of puberty; chronic disease, gastrointestinal disease with </w:t>
            </w:r>
            <w:proofErr w:type="spellStart"/>
            <w:r w:rsidRPr="00F151B7">
              <w:rPr>
                <w:rFonts w:eastAsia="Calibri"/>
                <w:sz w:val="18"/>
                <w:szCs w:val="18"/>
                <w:lang w:val="en-US" w:eastAsia="en-US"/>
              </w:rPr>
              <w:t>malabsorption</w:t>
            </w:r>
            <w:proofErr w:type="spellEnd"/>
            <w:r w:rsidRPr="00F151B7">
              <w:rPr>
                <w:rFonts w:eastAsia="Calibri"/>
                <w:sz w:val="18"/>
                <w:szCs w:val="18"/>
                <w:lang w:val="en-US" w:eastAsia="en-US"/>
              </w:rPr>
              <w:t xml:space="preserve">, congenital </w:t>
            </w:r>
          </w:p>
          <w:p w:rsidR="00F151B7" w:rsidRPr="00F151B7" w:rsidRDefault="00F151B7" w:rsidP="00F151B7">
            <w:pPr>
              <w:pStyle w:val="Default"/>
              <w:rPr>
                <w:snapToGrid w:val="0"/>
                <w:sz w:val="18"/>
                <w:szCs w:val="18"/>
                <w:lang w:val="en-US"/>
              </w:rPr>
            </w:pPr>
            <w:r w:rsidRPr="00F151B7">
              <w:rPr>
                <w:rFonts w:eastAsia="Calibri"/>
                <w:sz w:val="18"/>
                <w:szCs w:val="18"/>
                <w:lang w:val="en-US" w:eastAsia="en-US"/>
              </w:rPr>
              <w:t xml:space="preserve">or acquired bone </w:t>
            </w:r>
            <w:r w:rsidRPr="00F151B7">
              <w:rPr>
                <w:rFonts w:eastAsia="Calibri"/>
                <w:sz w:val="18"/>
                <w:szCs w:val="18"/>
                <w:lang w:val="en-US" w:eastAsia="en-US"/>
              </w:rPr>
              <w:lastRenderedPageBreak/>
              <w:t>disease; and regular use of medication</w:t>
            </w:r>
          </w:p>
        </w:tc>
        <w:tc>
          <w:tcPr>
            <w:tcW w:w="1537" w:type="dxa"/>
          </w:tcPr>
          <w:p w:rsidR="00F151B7" w:rsidRPr="00F151B7" w:rsidRDefault="00F151B7" w:rsidP="00F151B7">
            <w:pPr>
              <w:pStyle w:val="Default"/>
              <w:rPr>
                <w:snapToGrid w:val="0"/>
                <w:sz w:val="18"/>
                <w:szCs w:val="18"/>
                <w:lang w:val="en-GB"/>
              </w:rPr>
            </w:pPr>
            <w:r w:rsidRPr="00F151B7">
              <w:rPr>
                <w:rFonts w:eastAsia="Calibri"/>
                <w:color w:val="141314"/>
                <w:sz w:val="18"/>
                <w:szCs w:val="18"/>
                <w:lang w:val="en-US" w:eastAsia="en-US"/>
              </w:rPr>
              <w:lastRenderedPageBreak/>
              <w:t xml:space="preserve">Bone mineral content (BMC) in </w:t>
            </w:r>
            <w:proofErr w:type="spellStart"/>
            <w:r w:rsidRPr="00F151B7">
              <w:rPr>
                <w:rFonts w:eastAsia="Calibri"/>
                <w:color w:val="141314"/>
                <w:sz w:val="18"/>
                <w:szCs w:val="18"/>
                <w:lang w:val="en-US" w:eastAsia="en-US"/>
              </w:rPr>
              <w:t>prepuberty</w:t>
            </w:r>
            <w:proofErr w:type="spellEnd"/>
            <w:r w:rsidRPr="00F151B7">
              <w:rPr>
                <w:rFonts w:eastAsia="Calibri"/>
                <w:color w:val="141314"/>
                <w:sz w:val="18"/>
                <w:szCs w:val="18"/>
                <w:lang w:val="en-US" w:eastAsia="en-US"/>
              </w:rPr>
              <w:t xml:space="preserve"> (age 7.4 ± 0.4 y)</w:t>
            </w:r>
          </w:p>
        </w:tc>
        <w:tc>
          <w:tcPr>
            <w:tcW w:w="1342" w:type="dxa"/>
          </w:tcPr>
          <w:p w:rsidR="00F151B7" w:rsidRPr="00F151B7" w:rsidRDefault="00F151B7" w:rsidP="00F151B7">
            <w:pPr>
              <w:autoSpaceDE w:val="0"/>
              <w:autoSpaceDN w:val="0"/>
              <w:adjustRightInd w:val="0"/>
              <w:spacing w:before="120"/>
              <w:rPr>
                <w:rFonts w:eastAsia="Calibri"/>
                <w:sz w:val="18"/>
                <w:szCs w:val="18"/>
                <w:lang w:val="en-US" w:eastAsia="en-US"/>
              </w:rPr>
            </w:pPr>
            <w:r w:rsidRPr="00F151B7">
              <w:rPr>
                <w:rFonts w:eastAsia="Calibri"/>
                <w:sz w:val="18"/>
                <w:szCs w:val="18"/>
                <w:lang w:val="en-US" w:eastAsia="en-US"/>
              </w:rPr>
              <w:t>Protein and calcium intakes, and physical activity</w:t>
            </w:r>
          </w:p>
          <w:p w:rsidR="00F151B7" w:rsidRPr="00F151B7" w:rsidRDefault="00F151B7" w:rsidP="00F151B7">
            <w:pPr>
              <w:autoSpaceDE w:val="0"/>
              <w:autoSpaceDN w:val="0"/>
              <w:adjustRightInd w:val="0"/>
              <w:spacing w:before="120"/>
              <w:rPr>
                <w:rFonts w:eastAsia="Calibri"/>
                <w:sz w:val="18"/>
                <w:szCs w:val="18"/>
                <w:lang w:val="en-US" w:eastAsia="en-US"/>
              </w:rPr>
            </w:pPr>
            <w:r w:rsidRPr="00F151B7">
              <w:rPr>
                <w:rFonts w:eastAsia="Calibri"/>
                <w:sz w:val="18"/>
                <w:szCs w:val="18"/>
                <w:lang w:val="en-US" w:eastAsia="en-US"/>
              </w:rPr>
              <w:t>Total animal protein intake (g/d or g/kg/d). It included dairy, meat, fish, and egg proteins.</w:t>
            </w:r>
          </w:p>
          <w:p w:rsidR="00F151B7" w:rsidRPr="00F151B7" w:rsidRDefault="00F151B7" w:rsidP="00F151B7">
            <w:pPr>
              <w:autoSpaceDE w:val="0"/>
              <w:autoSpaceDN w:val="0"/>
              <w:adjustRightInd w:val="0"/>
              <w:spacing w:before="120"/>
              <w:rPr>
                <w:rFonts w:eastAsia="Calibri"/>
                <w:sz w:val="18"/>
                <w:szCs w:val="18"/>
                <w:lang w:val="en-US" w:eastAsia="en-US"/>
              </w:rPr>
            </w:pPr>
            <w:r w:rsidRPr="00F151B7">
              <w:rPr>
                <w:rFonts w:eastAsia="Calibri"/>
                <w:sz w:val="18"/>
                <w:szCs w:val="18"/>
                <w:lang w:val="en-US" w:eastAsia="en-US"/>
              </w:rPr>
              <w:t>The calcium intake was essentially assessed from dairy sources.</w:t>
            </w:r>
          </w:p>
          <w:p w:rsidR="00F151B7" w:rsidRPr="00F151B7" w:rsidRDefault="00F151B7" w:rsidP="00F151B7">
            <w:pPr>
              <w:autoSpaceDE w:val="0"/>
              <w:autoSpaceDN w:val="0"/>
              <w:adjustRightInd w:val="0"/>
              <w:spacing w:before="120"/>
              <w:rPr>
                <w:rFonts w:eastAsia="Calibri"/>
                <w:sz w:val="18"/>
                <w:szCs w:val="18"/>
                <w:lang w:val="en-US" w:eastAsia="en-US"/>
              </w:rPr>
            </w:pPr>
            <w:r w:rsidRPr="00F151B7">
              <w:rPr>
                <w:rFonts w:eastAsia="Calibri"/>
                <w:sz w:val="18"/>
                <w:szCs w:val="18"/>
                <w:lang w:val="en-US" w:eastAsia="en-US"/>
              </w:rPr>
              <w:t xml:space="preserve">Physical activity was assessed by questionnaire based on self-reported time spent on physical </w:t>
            </w:r>
            <w:r w:rsidRPr="00F151B7">
              <w:rPr>
                <w:rFonts w:eastAsia="Calibri"/>
                <w:sz w:val="18"/>
                <w:szCs w:val="18"/>
                <w:lang w:val="en-US" w:eastAsia="en-US"/>
              </w:rPr>
              <w:lastRenderedPageBreak/>
              <w:t>education classes, organized sports, recreational activity, and usual walking and cycling. Subsequently, the collected data were converted and expressed as physical activity energy expenditure (PAEE kcal/d) using established conversion equations</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NA (Cross-sectional)</w:t>
            </w:r>
          </w:p>
        </w:tc>
        <w:tc>
          <w:tcPr>
            <w:tcW w:w="1316" w:type="dxa"/>
          </w:tcPr>
          <w:p w:rsidR="00F151B7" w:rsidRPr="00F151B7" w:rsidRDefault="00F151B7" w:rsidP="00F151B7">
            <w:pPr>
              <w:autoSpaceDE w:val="0"/>
              <w:autoSpaceDN w:val="0"/>
              <w:adjustRightInd w:val="0"/>
              <w:rPr>
                <w:rFonts w:eastAsia="Calibri"/>
                <w:sz w:val="18"/>
                <w:szCs w:val="18"/>
                <w:lang w:val="en-US" w:eastAsia="en-US"/>
              </w:rPr>
            </w:pPr>
            <w:proofErr w:type="spellStart"/>
            <w:r w:rsidRPr="00F151B7">
              <w:rPr>
                <w:rFonts w:eastAsia="Calibri"/>
                <w:sz w:val="18"/>
                <w:szCs w:val="18"/>
                <w:lang w:val="en-US" w:eastAsia="en-US"/>
              </w:rPr>
              <w:t>Fequency</w:t>
            </w:r>
            <w:proofErr w:type="spellEnd"/>
            <w:r w:rsidRPr="00F151B7">
              <w:rPr>
                <w:rFonts w:eastAsia="Calibri"/>
                <w:sz w:val="18"/>
                <w:szCs w:val="18"/>
                <w:lang w:val="en-US" w:eastAsia="en-US"/>
              </w:rPr>
              <w:t xml:space="preserve"> questionnaire.</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(No details given except a reference to Morin et al 2005 which validated a simple, rapid, self-administered FFQ comprising 20 items for the estimation of dietary protein intake.</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FFQ validated by comparing it to the results of a diary performed over a 4-day-period in 29 normal healthy subjects (mean </w:t>
            </w:r>
            <w:proofErr w:type="spellStart"/>
            <w:r w:rsidRPr="00F151B7">
              <w:rPr>
                <w:rFonts w:eastAsia="Calibri"/>
                <w:sz w:val="18"/>
                <w:szCs w:val="18"/>
                <w:lang w:val="en-US" w:eastAsia="en-US"/>
              </w:rPr>
              <w:t>age±SD</w:t>
            </w:r>
            <w:proofErr w:type="spellEnd"/>
            <w:r w:rsidRPr="00F151B7">
              <w:rPr>
                <w:rFonts w:eastAsia="Calibri"/>
                <w:sz w:val="18"/>
                <w:szCs w:val="18"/>
                <w:lang w:val="en-US" w:eastAsia="en-US"/>
              </w:rPr>
              <w:t xml:space="preserve">, </w:t>
            </w:r>
            <w:r w:rsidRPr="00F151B7">
              <w:rPr>
                <w:rFonts w:eastAsia="Calibri"/>
                <w:sz w:val="18"/>
                <w:szCs w:val="18"/>
                <w:lang w:val="en-US" w:eastAsia="en-US"/>
              </w:rPr>
              <w:lastRenderedPageBreak/>
              <w:t xml:space="preserve">40.1±12.3), and to the mean of three last 24-h recalls, administered at 6-week intervals in 43 healthy men (mean </w:t>
            </w:r>
            <w:proofErr w:type="spellStart"/>
            <w:r w:rsidRPr="00F151B7">
              <w:rPr>
                <w:rFonts w:eastAsia="Calibri"/>
                <w:sz w:val="18"/>
                <w:szCs w:val="18"/>
                <w:lang w:val="en-US" w:eastAsia="en-US"/>
              </w:rPr>
              <w:t>age±SD</w:t>
            </w:r>
            <w:proofErr w:type="spellEnd"/>
            <w:r w:rsidRPr="00F151B7">
              <w:rPr>
                <w:rFonts w:eastAsia="Calibri"/>
                <w:sz w:val="18"/>
                <w:szCs w:val="18"/>
                <w:lang w:val="en-US" w:eastAsia="en-US"/>
              </w:rPr>
              <w:t>, 51.2±5.1).</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Bland and Altman graphs as well as the Pitman’s test did not show any difference in variability between the reference methods and the new FFQ. This indicates a reliable estimate of group average dietary protein intakes.)</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lastRenderedPageBreak/>
              <w:t>232 boys</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Cross-sectional</w:t>
            </w:r>
          </w:p>
        </w:tc>
        <w:tc>
          <w:tcPr>
            <w:tcW w:w="1526" w:type="dxa"/>
          </w:tcPr>
          <w:p w:rsidR="00F151B7" w:rsidRPr="00F151B7" w:rsidRDefault="00F151B7" w:rsidP="00F151B7">
            <w:pPr>
              <w:pStyle w:val="Default"/>
              <w:rPr>
                <w:snapToGrid w:val="0"/>
                <w:sz w:val="18"/>
                <w:szCs w:val="18"/>
                <w:lang w:val="en-US"/>
              </w:rPr>
            </w:pPr>
            <w:r w:rsidRPr="00F151B7">
              <w:rPr>
                <w:snapToGrid w:val="0"/>
                <w:sz w:val="18"/>
                <w:szCs w:val="18"/>
                <w:lang w:val="en-US"/>
              </w:rPr>
              <w:t xml:space="preserve">Results: In </w:t>
            </w:r>
            <w:proofErr w:type="spellStart"/>
            <w:r w:rsidRPr="00F151B7">
              <w:rPr>
                <w:snapToGrid w:val="0"/>
                <w:sz w:val="18"/>
                <w:szCs w:val="18"/>
                <w:lang w:val="en-US"/>
              </w:rPr>
              <w:t>univariate</w:t>
            </w:r>
            <w:proofErr w:type="spellEnd"/>
            <w:r w:rsidRPr="00F151B7">
              <w:rPr>
                <w:snapToGrid w:val="0"/>
                <w:sz w:val="18"/>
                <w:szCs w:val="18"/>
                <w:lang w:val="en-US"/>
              </w:rPr>
              <w:t xml:space="preserve"> analysis, the correlation coefficients </w:t>
            </w:r>
            <w:r w:rsidRPr="00F151B7">
              <w:rPr>
                <w:i/>
                <w:snapToGrid w:val="0"/>
                <w:sz w:val="18"/>
                <w:szCs w:val="18"/>
                <w:lang w:val="en-US"/>
              </w:rPr>
              <w:t>r</w:t>
            </w:r>
            <w:r w:rsidRPr="00F151B7">
              <w:rPr>
                <w:snapToGrid w:val="0"/>
                <w:sz w:val="18"/>
                <w:szCs w:val="18"/>
                <w:lang w:val="en-US"/>
              </w:rPr>
              <w:t xml:space="preserve"> with BMC of the various skeletal sites were as follows: physical activity, from 0.26 (p=0.0001) to 0.40 (p=0.0001); protein intake, from 0.18 (p=0.005) to 0.27 (p=0.0001); calcium intake, from 0.09 (p=0.181) to 0.17 (p=0.007). By multiple regression analysis, the B-adjusted values remained correlated with </w:t>
            </w:r>
            <w:r w:rsidRPr="00F151B7">
              <w:rPr>
                <w:snapToGrid w:val="0"/>
                <w:sz w:val="18"/>
                <w:szCs w:val="18"/>
                <w:lang w:val="en-US"/>
              </w:rPr>
              <w:lastRenderedPageBreak/>
              <w:t xml:space="preserve">BMC, ranging as follows: physical activity, from 0.219 (p=0.0007) to 0.340 (p &lt; 0.0001); protein intake, from 0.120 (p=0.146) to 0.217 (p=0.009). In contrast, it was not correlated for calcium intake: from −0.069 (p=0.410) to 0.001 (p=0.986). With protein intake (mean 2.0 g/kg body weight/d) above the median, increased physical activity from 168 to 321 kcal/d was associated with greater mean BMC Z-score (+0.6, p=0.0005). In contrast with protein intake (mean 1.5 g/kg body weight/d) below the median, increased physical activity from 167 to 312 kcal/d was not associated with a significantly greater mean BMC Z-score (+0.2, p=0.371). </w:t>
            </w:r>
            <w:r w:rsidRPr="00F151B7">
              <w:rPr>
                <w:snapToGrid w:val="0"/>
                <w:sz w:val="18"/>
                <w:szCs w:val="18"/>
                <w:lang w:val="en-US"/>
              </w:rPr>
              <w:lastRenderedPageBreak/>
              <w:t>The interaction between physical activity and protein intake was close to statistical significance for mean BMC Z-score (p=0.055) and significant for femoral neck BMC (p=0.012). In keeping with the results derived from multiple regression analysis, the increased physical activity on mean BMC Z-score was not influenced by difference in calcium intake above (mean 945 mg/d) and below (mean 555 mg/d) the median.</w:t>
            </w:r>
          </w:p>
          <w:p w:rsidR="00F151B7" w:rsidRPr="00F151B7" w:rsidRDefault="00F151B7" w:rsidP="00F151B7">
            <w:pPr>
              <w:pStyle w:val="Default"/>
              <w:rPr>
                <w:snapToGrid w:val="0"/>
                <w:sz w:val="18"/>
                <w:szCs w:val="18"/>
                <w:lang w:val="en-US"/>
              </w:rPr>
            </w:pPr>
            <w:r w:rsidRPr="00F151B7">
              <w:rPr>
                <w:snapToGrid w:val="0"/>
                <w:sz w:val="18"/>
                <w:szCs w:val="18"/>
                <w:lang w:val="en-US"/>
              </w:rPr>
              <w:t xml:space="preserve">Conclusion: In healthy </w:t>
            </w:r>
            <w:proofErr w:type="spellStart"/>
            <w:r w:rsidRPr="00F151B7">
              <w:rPr>
                <w:snapToGrid w:val="0"/>
                <w:sz w:val="18"/>
                <w:szCs w:val="18"/>
                <w:lang w:val="en-US"/>
              </w:rPr>
              <w:t>prepubertal</w:t>
            </w:r>
            <w:proofErr w:type="spellEnd"/>
            <w:r w:rsidRPr="00F151B7">
              <w:rPr>
                <w:snapToGrid w:val="0"/>
                <w:sz w:val="18"/>
                <w:szCs w:val="18"/>
                <w:lang w:val="en-US"/>
              </w:rPr>
              <w:t xml:space="preserve"> boys, the impact in increased physical activity on BMC seems to be enhanced by protein intake within limits above the usual recommended allowance.</w:t>
            </w:r>
          </w:p>
        </w:tc>
        <w:tc>
          <w:tcPr>
            <w:tcW w:w="1418" w:type="dxa"/>
          </w:tcPr>
          <w:p w:rsidR="00F151B7" w:rsidRPr="00F151B7" w:rsidRDefault="00F151B7" w:rsidP="00F151B7">
            <w:pPr>
              <w:pStyle w:val="Default"/>
              <w:rPr>
                <w:snapToGrid w:val="0"/>
                <w:sz w:val="18"/>
                <w:szCs w:val="18"/>
                <w:lang w:val="en-US"/>
              </w:rPr>
            </w:pPr>
            <w:r w:rsidRPr="00F151B7">
              <w:rPr>
                <w:snapToGrid w:val="0"/>
                <w:sz w:val="18"/>
                <w:szCs w:val="18"/>
                <w:lang w:val="en-US"/>
              </w:rPr>
              <w:lastRenderedPageBreak/>
              <w:t>Adjusted for each respective contribution of the three independent variables: physical activity and protein and calcium intakes</w:t>
            </w: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t>C</w:t>
            </w:r>
          </w:p>
          <w:p w:rsidR="00F151B7" w:rsidRPr="00F151B7" w:rsidRDefault="00F151B7" w:rsidP="00F151B7">
            <w:pPr>
              <w:pStyle w:val="Default"/>
              <w:rPr>
                <w:rFonts w:eastAsia="Calibri"/>
                <w:sz w:val="18"/>
                <w:szCs w:val="18"/>
                <w:lang w:val="en-US" w:eastAsia="en-US"/>
              </w:rPr>
            </w:pPr>
            <w:r w:rsidRPr="00F151B7">
              <w:rPr>
                <w:snapToGrid w:val="0"/>
                <w:sz w:val="18"/>
                <w:szCs w:val="18"/>
                <w:lang w:val="en-GB"/>
              </w:rPr>
              <w:t>No power calculation, n</w:t>
            </w:r>
            <w:r w:rsidRPr="00F151B7">
              <w:rPr>
                <w:rFonts w:eastAsia="Calibri"/>
                <w:sz w:val="18"/>
                <w:szCs w:val="18"/>
                <w:lang w:val="en-US" w:eastAsia="en-US"/>
              </w:rPr>
              <w:t xml:space="preserve">o details at all are given for the FFQ (The authors note that the FFQ was validated against two reference methods, Furthermore, the questionnaires were filled under the direct supervision of the same </w:t>
            </w:r>
            <w:r w:rsidRPr="00F151B7">
              <w:rPr>
                <w:rFonts w:eastAsia="Calibri"/>
                <w:sz w:val="18"/>
                <w:szCs w:val="18"/>
                <w:lang w:val="en-US" w:eastAsia="en-US"/>
              </w:rPr>
              <w:lastRenderedPageBreak/>
              <w:t xml:space="preserve">certified dietitian for all boys of the investigated cohort. </w:t>
            </w:r>
            <w:r w:rsidRPr="00F151B7">
              <w:rPr>
                <w:rFonts w:eastAsia="Calibri"/>
                <w:color w:val="FF0000"/>
                <w:sz w:val="18"/>
                <w:szCs w:val="18"/>
                <w:lang w:val="en-US" w:eastAsia="en-US"/>
              </w:rPr>
              <w:t>NOTE – validation made in adults – problematic?</w:t>
            </w:r>
            <w:r w:rsidRPr="00F151B7">
              <w:rPr>
                <w:rFonts w:eastAsia="Calibri"/>
                <w:sz w:val="18"/>
                <w:szCs w:val="18"/>
                <w:lang w:val="en-US" w:eastAsia="en-US"/>
              </w:rPr>
              <w:t>),</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no details on energy intake given, probably no energy adjustment done, definitely nothing in writing,</w:t>
            </w:r>
          </w:p>
          <w:p w:rsidR="00F151B7" w:rsidRPr="00F151B7" w:rsidRDefault="00F151B7" w:rsidP="00F151B7">
            <w:pPr>
              <w:autoSpaceDE w:val="0"/>
              <w:autoSpaceDN w:val="0"/>
              <w:adjustRightInd w:val="0"/>
              <w:rPr>
                <w:rFonts w:eastAsia="Calibri"/>
                <w:sz w:val="18"/>
                <w:szCs w:val="18"/>
                <w:lang w:val="en-US" w:eastAsia="en-US"/>
              </w:rPr>
            </w:pPr>
            <w:r w:rsidRPr="00F151B7">
              <w:rPr>
                <w:rFonts w:eastAsia="Calibri"/>
                <w:sz w:val="18"/>
                <w:szCs w:val="18"/>
                <w:lang w:val="en-US" w:eastAsia="en-US"/>
              </w:rPr>
              <w:t xml:space="preserve">no confounders included except </w:t>
            </w:r>
            <w:r w:rsidRPr="00F151B7">
              <w:rPr>
                <w:snapToGrid w:val="0"/>
                <w:sz w:val="18"/>
                <w:szCs w:val="18"/>
                <w:lang w:val="en-US"/>
              </w:rPr>
              <w:t>physical activity and protein and calcium intakes</w:t>
            </w:r>
            <w:r w:rsidRPr="00F151B7">
              <w:rPr>
                <w:rFonts w:eastAsia="Calibri"/>
                <w:sz w:val="18"/>
                <w:szCs w:val="18"/>
                <w:lang w:val="en-US" w:eastAsia="en-US"/>
              </w:rPr>
              <w:t xml:space="preserve"> </w:t>
            </w:r>
          </w:p>
        </w:tc>
      </w:tr>
      <w:tr w:rsidR="00F151B7" w:rsidRPr="00DB3A4A" w:rsidTr="00F151B7">
        <w:trPr>
          <w:trHeight w:val="522"/>
        </w:trPr>
        <w:tc>
          <w:tcPr>
            <w:tcW w:w="1089" w:type="dxa"/>
          </w:tcPr>
          <w:p w:rsidR="00961043" w:rsidRDefault="00F151B7" w:rsidP="00F151B7">
            <w:pPr>
              <w:pStyle w:val="Default"/>
              <w:rPr>
                <w:snapToGrid w:val="0"/>
                <w:sz w:val="18"/>
                <w:szCs w:val="18"/>
                <w:lang w:val="en-GB"/>
              </w:rPr>
            </w:pPr>
            <w:r w:rsidRPr="00F151B7">
              <w:rPr>
                <w:snapToGrid w:val="0"/>
                <w:sz w:val="18"/>
                <w:szCs w:val="18"/>
                <w:lang w:val="en-GB"/>
              </w:rPr>
              <w:lastRenderedPageBreak/>
              <w:t>Hoppe, 2000,</w:t>
            </w:r>
          </w:p>
          <w:p w:rsidR="00961043" w:rsidRDefault="00961043" w:rsidP="00F151B7">
            <w:pPr>
              <w:pStyle w:val="Default"/>
              <w:rPr>
                <w:snapToGrid w:val="0"/>
                <w:sz w:val="18"/>
                <w:szCs w:val="18"/>
                <w:lang w:val="en-GB"/>
              </w:rPr>
            </w:pPr>
            <w:r>
              <w:rPr>
                <w:snapToGrid w:val="0"/>
                <w:sz w:val="18"/>
                <w:szCs w:val="18"/>
                <w:lang w:val="en-GB"/>
              </w:rPr>
              <w:t>(50)</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Denmark </w:t>
            </w:r>
          </w:p>
          <w:p w:rsidR="00F151B7" w:rsidRPr="00F151B7" w:rsidRDefault="00F151B7" w:rsidP="00F151B7">
            <w:pPr>
              <w:pStyle w:val="Default"/>
              <w:rPr>
                <w:snapToGrid w:val="0"/>
                <w:sz w:val="18"/>
                <w:szCs w:val="18"/>
                <w:lang w:val="en-GB"/>
              </w:rPr>
            </w:pPr>
            <w:r w:rsidRPr="00F151B7">
              <w:rPr>
                <w:snapToGrid w:val="0"/>
                <w:sz w:val="18"/>
                <w:szCs w:val="18"/>
                <w:lang w:val="en-GB"/>
              </w:rPr>
              <w:t>Cross sectional</w:t>
            </w:r>
          </w:p>
        </w:tc>
        <w:tc>
          <w:tcPr>
            <w:tcW w:w="1676" w:type="dxa"/>
          </w:tcPr>
          <w:p w:rsidR="00F151B7" w:rsidRPr="00F151B7" w:rsidRDefault="00F151B7" w:rsidP="00F151B7">
            <w:pPr>
              <w:pStyle w:val="Default"/>
              <w:rPr>
                <w:snapToGrid w:val="0"/>
                <w:sz w:val="18"/>
                <w:szCs w:val="18"/>
                <w:lang w:val="en-GB"/>
              </w:rPr>
            </w:pPr>
            <w:r w:rsidRPr="00F151B7">
              <w:rPr>
                <w:i/>
                <w:snapToGrid w:val="0"/>
                <w:sz w:val="18"/>
                <w:szCs w:val="18"/>
                <w:lang w:val="en-GB"/>
              </w:rPr>
              <w:t>Copenhagen Cohort Study on Infant Nutrition and Growth.</w:t>
            </w:r>
            <w:r w:rsidRPr="00F151B7">
              <w:rPr>
                <w:snapToGrid w:val="0"/>
                <w:sz w:val="18"/>
                <w:szCs w:val="18"/>
                <w:lang w:val="en-GB"/>
              </w:rPr>
              <w:t xml:space="preserve"> </w:t>
            </w:r>
            <w:r w:rsidRPr="00F151B7">
              <w:rPr>
                <w:i/>
                <w:snapToGrid w:val="0"/>
                <w:sz w:val="18"/>
                <w:szCs w:val="18"/>
                <w:lang w:val="en-GB"/>
              </w:rPr>
              <w:t xml:space="preserve"> Present </w:t>
            </w:r>
            <w:proofErr w:type="gramStart"/>
            <w:r w:rsidRPr="00F151B7">
              <w:rPr>
                <w:i/>
                <w:snapToGrid w:val="0"/>
                <w:sz w:val="18"/>
                <w:szCs w:val="18"/>
                <w:lang w:val="en-GB"/>
              </w:rPr>
              <w:t>study  cross</w:t>
            </w:r>
            <w:proofErr w:type="gramEnd"/>
            <w:r w:rsidRPr="00F151B7">
              <w:rPr>
                <w:i/>
                <w:snapToGrid w:val="0"/>
                <w:sz w:val="18"/>
                <w:szCs w:val="18"/>
                <w:lang w:val="en-GB"/>
              </w:rPr>
              <w:t>-sectional at 10 y:</w:t>
            </w:r>
            <w:r w:rsidRPr="00F151B7">
              <w:rPr>
                <w:snapToGrid w:val="0"/>
                <w:sz w:val="18"/>
                <w:szCs w:val="18"/>
                <w:lang w:val="en-GB"/>
              </w:rPr>
              <w:t xml:space="preserve"> Random sample followed from birth to 12 mo. </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251 infants born at </w:t>
            </w:r>
            <w:proofErr w:type="spellStart"/>
            <w:r w:rsidRPr="00F151B7">
              <w:rPr>
                <w:snapToGrid w:val="0"/>
                <w:sz w:val="18"/>
                <w:szCs w:val="18"/>
                <w:lang w:val="en-GB"/>
              </w:rPr>
              <w:t>Hvidovre</w:t>
            </w:r>
            <w:proofErr w:type="spellEnd"/>
            <w:r w:rsidRPr="00F151B7">
              <w:rPr>
                <w:snapToGrid w:val="0"/>
                <w:sz w:val="18"/>
                <w:szCs w:val="18"/>
                <w:lang w:val="en-GB"/>
              </w:rPr>
              <w:t xml:space="preserve"> Hospital during 109 predetermined 24 h periods from Oct 1987 to Feb 1988 fulfilled inclusion criteria:</w:t>
            </w: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Parents of Danish origin, singleton births, gestational age 37-42 </w:t>
            </w:r>
            <w:proofErr w:type="spellStart"/>
            <w:r w:rsidRPr="00F151B7">
              <w:rPr>
                <w:snapToGrid w:val="0"/>
                <w:sz w:val="18"/>
                <w:szCs w:val="18"/>
                <w:lang w:val="en-GB"/>
              </w:rPr>
              <w:t>wk</w:t>
            </w:r>
            <w:proofErr w:type="spellEnd"/>
            <w:r w:rsidRPr="00F151B7">
              <w:rPr>
                <w:snapToGrid w:val="0"/>
                <w:sz w:val="18"/>
                <w:szCs w:val="18"/>
                <w:lang w:val="en-GB"/>
              </w:rPr>
              <w:t xml:space="preserve">, </w:t>
            </w:r>
            <w:proofErr w:type="gramStart"/>
            <w:r w:rsidRPr="00F151B7">
              <w:rPr>
                <w:snapToGrid w:val="0"/>
                <w:sz w:val="18"/>
                <w:szCs w:val="18"/>
                <w:lang w:val="en-GB"/>
              </w:rPr>
              <w:t>birth</w:t>
            </w:r>
            <w:proofErr w:type="gramEnd"/>
            <w:r w:rsidRPr="00F151B7">
              <w:rPr>
                <w:snapToGrid w:val="0"/>
                <w:sz w:val="18"/>
                <w:szCs w:val="18"/>
                <w:lang w:val="en-GB"/>
              </w:rPr>
              <w:t xml:space="preserve"> weight for gestational age between 10-90 percentile, no neonatal disease.</w:t>
            </w:r>
          </w:p>
          <w:p w:rsidR="00F151B7" w:rsidRPr="00F151B7" w:rsidRDefault="00F151B7" w:rsidP="00F151B7">
            <w:pPr>
              <w:pStyle w:val="Default"/>
              <w:rPr>
                <w:snapToGrid w:val="0"/>
                <w:sz w:val="18"/>
                <w:szCs w:val="18"/>
                <w:lang w:val="en-GB"/>
              </w:rPr>
            </w:pPr>
            <w:r w:rsidRPr="00F151B7">
              <w:rPr>
                <w:i/>
                <w:snapToGrid w:val="0"/>
                <w:sz w:val="18"/>
                <w:szCs w:val="18"/>
                <w:lang w:val="en-GB"/>
              </w:rPr>
              <w:t xml:space="preserve">Present </w:t>
            </w:r>
            <w:proofErr w:type="gramStart"/>
            <w:r w:rsidRPr="00F151B7">
              <w:rPr>
                <w:i/>
                <w:snapToGrid w:val="0"/>
                <w:sz w:val="18"/>
                <w:szCs w:val="18"/>
                <w:lang w:val="en-GB"/>
              </w:rPr>
              <w:t>study  cross</w:t>
            </w:r>
            <w:proofErr w:type="gramEnd"/>
            <w:r w:rsidRPr="00F151B7">
              <w:rPr>
                <w:i/>
                <w:snapToGrid w:val="0"/>
                <w:sz w:val="18"/>
                <w:szCs w:val="18"/>
                <w:lang w:val="en-GB"/>
              </w:rPr>
              <w:t>-sectional:</w:t>
            </w:r>
            <w:r w:rsidRPr="00F151B7">
              <w:rPr>
                <w:snapToGrid w:val="0"/>
                <w:sz w:val="18"/>
                <w:szCs w:val="18"/>
                <w:lang w:val="en-GB"/>
              </w:rPr>
              <w:t xml:space="preserve"> All 142 (63 boys) from the original study, aged 10 y invited (Oct 1997-Feb 1998). 105 (51 boys) agreed to participate (74%). </w:t>
            </w:r>
          </w:p>
        </w:tc>
        <w:tc>
          <w:tcPr>
            <w:tcW w:w="1537" w:type="dxa"/>
          </w:tcPr>
          <w:p w:rsidR="00F151B7" w:rsidRPr="00F151B7" w:rsidRDefault="00F151B7" w:rsidP="00F151B7">
            <w:pPr>
              <w:pStyle w:val="Default"/>
              <w:rPr>
                <w:snapToGrid w:val="0"/>
                <w:sz w:val="18"/>
                <w:szCs w:val="18"/>
                <w:lang w:val="en-GB"/>
              </w:rPr>
            </w:pPr>
            <w:r w:rsidRPr="00F151B7">
              <w:rPr>
                <w:snapToGrid w:val="0"/>
                <w:sz w:val="18"/>
                <w:szCs w:val="18"/>
                <w:lang w:val="en-GB"/>
              </w:rPr>
              <w:t>Whole body bone  mineral content (BMC, g) and bone size expressed as anterior-posterior projected bone area (BA, cm</w:t>
            </w:r>
            <w:r w:rsidRPr="00F151B7">
              <w:rPr>
                <w:snapToGrid w:val="0"/>
                <w:sz w:val="18"/>
                <w:szCs w:val="18"/>
                <w:vertAlign w:val="superscript"/>
                <w:lang w:val="en-GB"/>
              </w:rPr>
              <w:t>2</w:t>
            </w:r>
            <w:r w:rsidRPr="00F151B7">
              <w:rPr>
                <w:snapToGrid w:val="0"/>
                <w:sz w:val="18"/>
                <w:szCs w:val="18"/>
                <w:lang w:val="en-GB"/>
              </w:rPr>
              <w:t>)</w:t>
            </w:r>
          </w:p>
          <w:p w:rsidR="00F151B7" w:rsidRPr="00F151B7" w:rsidRDefault="00F151B7" w:rsidP="00F151B7">
            <w:pPr>
              <w:pStyle w:val="Default"/>
              <w:rPr>
                <w:snapToGrid w:val="0"/>
                <w:sz w:val="18"/>
                <w:szCs w:val="18"/>
                <w:lang w:val="en-GB"/>
              </w:rPr>
            </w:pPr>
            <w:r w:rsidRPr="00F151B7">
              <w:rPr>
                <w:snapToGrid w:val="0"/>
                <w:sz w:val="18"/>
                <w:szCs w:val="18"/>
                <w:lang w:val="en-GB"/>
              </w:rPr>
              <w:t>Determined by dual-energy X-ray absorptiometry Height and weight measured.</w:t>
            </w:r>
          </w:p>
        </w:tc>
        <w:tc>
          <w:tcPr>
            <w:tcW w:w="1342" w:type="dxa"/>
          </w:tcPr>
          <w:p w:rsidR="00F151B7" w:rsidRPr="00F151B7" w:rsidRDefault="00F151B7" w:rsidP="00F151B7">
            <w:pPr>
              <w:pStyle w:val="Default"/>
              <w:rPr>
                <w:snapToGrid w:val="0"/>
                <w:sz w:val="18"/>
                <w:szCs w:val="18"/>
                <w:lang w:val="en-GB"/>
              </w:rPr>
            </w:pPr>
            <w:r w:rsidRPr="00F151B7">
              <w:rPr>
                <w:snapToGrid w:val="0"/>
                <w:sz w:val="18"/>
                <w:szCs w:val="18"/>
                <w:lang w:val="en-GB"/>
              </w:rPr>
              <w:t>Usual dietary intake at 10 y</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Energy, protein and other  nutrients</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RQ: to study the influence of dietary factors on size-adjusted</w:t>
            </w:r>
          </w:p>
          <w:p w:rsidR="00F151B7" w:rsidRPr="00F151B7" w:rsidRDefault="00F151B7" w:rsidP="00F151B7">
            <w:pPr>
              <w:pStyle w:val="Default"/>
              <w:rPr>
                <w:snapToGrid w:val="0"/>
                <w:sz w:val="18"/>
                <w:szCs w:val="18"/>
                <w:lang w:val="en-GB"/>
              </w:rPr>
            </w:pPr>
            <w:r w:rsidRPr="00F151B7">
              <w:rPr>
                <w:snapToGrid w:val="0"/>
                <w:sz w:val="18"/>
                <w:szCs w:val="18"/>
                <w:lang w:val="en-GB"/>
              </w:rPr>
              <w:t>whole body BA and BMC  in 10-y-olds</w:t>
            </w:r>
          </w:p>
        </w:tc>
        <w:tc>
          <w:tcPr>
            <w:tcW w:w="1256" w:type="dxa"/>
          </w:tcPr>
          <w:p w:rsidR="00F151B7" w:rsidRPr="00F151B7" w:rsidRDefault="00F151B7" w:rsidP="00F151B7">
            <w:pPr>
              <w:pStyle w:val="Default"/>
              <w:rPr>
                <w:snapToGrid w:val="0"/>
                <w:sz w:val="18"/>
                <w:szCs w:val="18"/>
                <w:lang w:val="en-GB"/>
              </w:rPr>
            </w:pPr>
            <w:r w:rsidRPr="00F151B7">
              <w:rPr>
                <w:snapToGrid w:val="0"/>
                <w:sz w:val="18"/>
                <w:szCs w:val="18"/>
                <w:lang w:val="en-GB"/>
              </w:rPr>
              <w:t>Exposure and outcome at 10 y</w:t>
            </w:r>
          </w:p>
        </w:tc>
        <w:tc>
          <w:tcPr>
            <w:tcW w:w="1316" w:type="dxa"/>
          </w:tcPr>
          <w:p w:rsidR="00F151B7" w:rsidRPr="00F151B7" w:rsidRDefault="00F151B7" w:rsidP="00F151B7">
            <w:pPr>
              <w:pStyle w:val="Default"/>
              <w:rPr>
                <w:snapToGrid w:val="0"/>
                <w:sz w:val="18"/>
                <w:szCs w:val="18"/>
                <w:lang w:val="en-GB"/>
              </w:rPr>
            </w:pPr>
            <w:r w:rsidRPr="00F151B7">
              <w:rPr>
                <w:snapToGrid w:val="0"/>
                <w:sz w:val="18"/>
                <w:szCs w:val="18"/>
                <w:lang w:val="en-GB"/>
              </w:rPr>
              <w:t>7 day food record at 10 y</w:t>
            </w:r>
          </w:p>
        </w:tc>
        <w:tc>
          <w:tcPr>
            <w:tcW w:w="1074"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105 </w:t>
            </w:r>
          </w:p>
          <w:p w:rsidR="00F151B7" w:rsidRPr="00F151B7" w:rsidRDefault="00F151B7" w:rsidP="00F151B7">
            <w:pPr>
              <w:pStyle w:val="Default"/>
              <w:rPr>
                <w:snapToGrid w:val="0"/>
                <w:sz w:val="18"/>
                <w:szCs w:val="18"/>
                <w:lang w:val="en-GB"/>
              </w:rPr>
            </w:pPr>
            <w:r w:rsidRPr="00F151B7">
              <w:rPr>
                <w:snapToGrid w:val="0"/>
                <w:sz w:val="18"/>
                <w:szCs w:val="18"/>
                <w:lang w:val="en-GB"/>
              </w:rPr>
              <w:t>(51 boys, 54 girls)</w:t>
            </w:r>
          </w:p>
        </w:tc>
        <w:tc>
          <w:tcPr>
            <w:tcW w:w="1498"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tc>
        <w:tc>
          <w:tcPr>
            <w:tcW w:w="1179" w:type="dxa"/>
          </w:tcPr>
          <w:p w:rsidR="00F151B7" w:rsidRPr="00F151B7" w:rsidRDefault="00F151B7" w:rsidP="00F151B7">
            <w:pPr>
              <w:pStyle w:val="Default"/>
              <w:rPr>
                <w:snapToGrid w:val="0"/>
                <w:sz w:val="18"/>
                <w:szCs w:val="18"/>
                <w:lang w:val="en-GB"/>
              </w:rPr>
            </w:pPr>
            <w:r w:rsidRPr="00F151B7">
              <w:rPr>
                <w:snapToGrid w:val="0"/>
                <w:sz w:val="18"/>
                <w:szCs w:val="18"/>
                <w:lang w:val="en-GB"/>
              </w:rPr>
              <w:t>NA</w:t>
            </w:r>
          </w:p>
          <w:p w:rsidR="00F151B7" w:rsidRPr="00F151B7" w:rsidRDefault="00F151B7" w:rsidP="00F151B7">
            <w:pPr>
              <w:pStyle w:val="Default"/>
              <w:rPr>
                <w:snapToGrid w:val="0"/>
                <w:sz w:val="18"/>
                <w:szCs w:val="18"/>
                <w:lang w:val="en-GB"/>
              </w:rPr>
            </w:pPr>
          </w:p>
        </w:tc>
        <w:tc>
          <w:tcPr>
            <w:tcW w:w="1526"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In bivariate analyses, BMC and BA were positively correlated with height (p&lt;0.001) and weight (p&lt;0.001) and with intakes of energy (p&lt;0.005) and several nutrients. </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In multivariate analyses, size-adjusted BMC was positively associated with calcium intake (p=0.02), and size-adjusted BA was positively associated with dietary protein (p=0.003), and negatively associated with intakes of sodium (p=0.048) and phosphorus (p=0.01) </w:t>
            </w:r>
          </w:p>
        </w:tc>
        <w:tc>
          <w:tcPr>
            <w:tcW w:w="1418" w:type="dxa"/>
          </w:tcPr>
          <w:p w:rsidR="00F151B7" w:rsidRPr="00F151B7" w:rsidRDefault="00F151B7" w:rsidP="00F151B7">
            <w:pPr>
              <w:pStyle w:val="Default"/>
              <w:rPr>
                <w:snapToGrid w:val="0"/>
                <w:sz w:val="18"/>
                <w:szCs w:val="18"/>
                <w:lang w:val="en-GB"/>
              </w:rPr>
            </w:pPr>
            <w:r w:rsidRPr="00F151B7">
              <w:rPr>
                <w:snapToGrid w:val="0"/>
                <w:sz w:val="18"/>
                <w:szCs w:val="18"/>
                <w:lang w:val="en-GB"/>
              </w:rPr>
              <w:t xml:space="preserve">BMC adjusted for size by including BA, height and weight in multiple linear regression analyses.  </w:t>
            </w:r>
          </w:p>
          <w:p w:rsidR="00F151B7" w:rsidRPr="00F151B7" w:rsidRDefault="00F151B7" w:rsidP="00F151B7">
            <w:pPr>
              <w:pStyle w:val="Default"/>
              <w:rPr>
                <w:snapToGrid w:val="0"/>
                <w:sz w:val="18"/>
                <w:szCs w:val="18"/>
                <w:lang w:val="en-GB"/>
              </w:rPr>
            </w:pPr>
          </w:p>
          <w:p w:rsidR="00F151B7" w:rsidRPr="00F151B7" w:rsidRDefault="00F151B7" w:rsidP="00F151B7">
            <w:pPr>
              <w:pStyle w:val="Default"/>
              <w:rPr>
                <w:snapToGrid w:val="0"/>
                <w:sz w:val="18"/>
                <w:szCs w:val="18"/>
                <w:lang w:val="en-GB"/>
              </w:rPr>
            </w:pPr>
            <w:r w:rsidRPr="00F151B7">
              <w:rPr>
                <w:snapToGrid w:val="0"/>
                <w:sz w:val="18"/>
                <w:szCs w:val="18"/>
                <w:lang w:val="en-GB"/>
              </w:rPr>
              <w:t xml:space="preserve">BA was adjusted for size by including height and weight in the multiple linear </w:t>
            </w:r>
            <w:proofErr w:type="gramStart"/>
            <w:r w:rsidRPr="00F151B7">
              <w:rPr>
                <w:snapToGrid w:val="0"/>
                <w:sz w:val="18"/>
                <w:szCs w:val="18"/>
                <w:lang w:val="en-GB"/>
              </w:rPr>
              <w:t>regression</w:t>
            </w:r>
            <w:proofErr w:type="gramEnd"/>
            <w:r w:rsidRPr="00F151B7">
              <w:rPr>
                <w:snapToGrid w:val="0"/>
                <w:sz w:val="18"/>
                <w:szCs w:val="18"/>
                <w:lang w:val="en-GB"/>
              </w:rPr>
              <w:t>.</w:t>
            </w:r>
          </w:p>
          <w:p w:rsidR="00F151B7" w:rsidRPr="00F151B7" w:rsidRDefault="00F151B7" w:rsidP="00F151B7">
            <w:pPr>
              <w:pStyle w:val="Default"/>
              <w:rPr>
                <w:snapToGrid w:val="0"/>
                <w:sz w:val="18"/>
                <w:szCs w:val="18"/>
                <w:lang w:val="en-GB"/>
              </w:rPr>
            </w:pPr>
            <w:proofErr w:type="spellStart"/>
            <w:r w:rsidRPr="00F151B7">
              <w:rPr>
                <w:snapToGrid w:val="0"/>
                <w:sz w:val="18"/>
                <w:szCs w:val="18"/>
                <w:lang w:val="en-GB"/>
              </w:rPr>
              <w:t>Multivariat</w:t>
            </w:r>
            <w:proofErr w:type="spellEnd"/>
            <w:r w:rsidRPr="00F151B7">
              <w:rPr>
                <w:snapToGrid w:val="0"/>
                <w:sz w:val="18"/>
                <w:szCs w:val="18"/>
                <w:lang w:val="en-GB"/>
              </w:rPr>
              <w:t xml:space="preserve"> analyses of associations between dietary factors and BA and BMC. For analysis of association between protein and BA, adjustment for height, weight and sex. </w:t>
            </w:r>
          </w:p>
        </w:tc>
        <w:tc>
          <w:tcPr>
            <w:tcW w:w="1016" w:type="dxa"/>
          </w:tcPr>
          <w:p w:rsidR="00F151B7" w:rsidRPr="00F151B7" w:rsidRDefault="00F151B7" w:rsidP="00F151B7">
            <w:pPr>
              <w:pStyle w:val="Default"/>
              <w:rPr>
                <w:snapToGrid w:val="0"/>
                <w:sz w:val="18"/>
                <w:szCs w:val="18"/>
                <w:lang w:val="en-GB"/>
              </w:rPr>
            </w:pPr>
            <w:r w:rsidRPr="00F151B7">
              <w:rPr>
                <w:snapToGrid w:val="0"/>
                <w:sz w:val="18"/>
                <w:szCs w:val="18"/>
                <w:lang w:val="en-GB"/>
              </w:rPr>
              <w:t>B</w:t>
            </w:r>
          </w:p>
          <w:p w:rsidR="00F151B7" w:rsidRPr="00F151B7" w:rsidRDefault="00F151B7" w:rsidP="00F151B7">
            <w:pPr>
              <w:pStyle w:val="Default"/>
              <w:rPr>
                <w:snapToGrid w:val="0"/>
                <w:sz w:val="18"/>
                <w:szCs w:val="18"/>
                <w:lang w:val="en-GB"/>
              </w:rPr>
            </w:pPr>
            <w:r w:rsidRPr="00F151B7">
              <w:rPr>
                <w:snapToGrid w:val="0"/>
                <w:sz w:val="18"/>
                <w:szCs w:val="18"/>
                <w:lang w:val="en-GB"/>
              </w:rPr>
              <w:t>Energy adjustment not done (fat, protein and carbs are reported as g/day)</w:t>
            </w:r>
          </w:p>
          <w:p w:rsidR="00F151B7" w:rsidRPr="00F151B7" w:rsidRDefault="00F151B7" w:rsidP="00F151B7">
            <w:pPr>
              <w:pStyle w:val="Default"/>
              <w:rPr>
                <w:snapToGrid w:val="0"/>
                <w:sz w:val="18"/>
                <w:szCs w:val="18"/>
                <w:lang w:val="en-GB"/>
              </w:rPr>
            </w:pPr>
            <w:r w:rsidRPr="00F151B7">
              <w:rPr>
                <w:snapToGrid w:val="0"/>
                <w:sz w:val="18"/>
                <w:szCs w:val="18"/>
                <w:lang w:val="en-GB"/>
              </w:rPr>
              <w:t>No power calculation</w:t>
            </w:r>
          </w:p>
        </w:tc>
      </w:tr>
    </w:tbl>
    <w:p w:rsidR="00F151B7" w:rsidRPr="00DB3A4A" w:rsidRDefault="00F151B7" w:rsidP="0080748E">
      <w:pPr>
        <w:pStyle w:val="Default"/>
        <w:ind w:left="-709"/>
        <w:rPr>
          <w:lang w:val="en-US"/>
        </w:rPr>
      </w:pPr>
    </w:p>
    <w:p w:rsidR="00780BB6" w:rsidRPr="00DB3A4A" w:rsidRDefault="00780BB6" w:rsidP="00EA14CD">
      <w:pPr>
        <w:pStyle w:val="Default"/>
        <w:rPr>
          <w:b/>
          <w:bCs/>
          <w:lang w:val="en-US"/>
        </w:rPr>
      </w:pPr>
    </w:p>
    <w:p w:rsidR="00780BB6" w:rsidRPr="00DB3A4A" w:rsidRDefault="00780BB6">
      <w:pPr>
        <w:rPr>
          <w:b/>
          <w:bCs/>
          <w:color w:val="000000"/>
          <w:lang w:val="en-US"/>
        </w:rPr>
      </w:pPr>
      <w:r w:rsidRPr="00DB3A4A">
        <w:rPr>
          <w:b/>
          <w:bCs/>
          <w:lang w:val="en-US"/>
        </w:rPr>
        <w:br w:type="page"/>
      </w:r>
    </w:p>
    <w:p w:rsidR="00780BB6" w:rsidRPr="00DB3A4A" w:rsidRDefault="00780BB6" w:rsidP="00197533">
      <w:pPr>
        <w:pStyle w:val="Default"/>
        <w:ind w:left="-709"/>
        <w:rPr>
          <w:rFonts w:ascii="Arial" w:hAnsi="Arial" w:cs="Arial"/>
          <w:b/>
          <w:bCs/>
          <w:color w:val="auto"/>
          <w:sz w:val="16"/>
          <w:szCs w:val="16"/>
          <w:lang w:val="en-US"/>
        </w:rPr>
      </w:pPr>
      <w:r w:rsidRPr="00DB3A4A">
        <w:rPr>
          <w:b/>
          <w:bCs/>
          <w:lang w:val="en-US"/>
        </w:rPr>
        <w:lastRenderedPageBreak/>
        <w:t xml:space="preserve">Evidence table: Dietary information/Background </w:t>
      </w:r>
      <w:r w:rsidRPr="00DB3A4A">
        <w:rPr>
          <w:b/>
          <w:bCs/>
          <w:color w:val="auto"/>
          <w:lang w:val="en-US"/>
        </w:rPr>
        <w:t>diet</w:t>
      </w:r>
      <w:r w:rsidRPr="00DB3A4A">
        <w:rPr>
          <w:rFonts w:ascii="Arial" w:hAnsi="Arial" w:cs="Arial"/>
          <w:b/>
          <w:bCs/>
          <w:color w:val="auto"/>
          <w:lang w:val="en-US"/>
        </w:rPr>
        <w:t>*</w:t>
      </w:r>
      <w:r w:rsidRPr="00DB3A4A">
        <w:rPr>
          <w:rFonts w:ascii="Arial" w:hAnsi="Arial" w:cs="Arial"/>
          <w:b/>
          <w:bCs/>
          <w:color w:val="auto"/>
          <w:sz w:val="16"/>
          <w:szCs w:val="16"/>
          <w:lang w:val="en-US"/>
        </w:rPr>
        <w:t xml:space="preserve">  </w:t>
      </w:r>
    </w:p>
    <w:p w:rsidR="00780BB6" w:rsidRPr="00DB3A4A" w:rsidRDefault="00780BB6" w:rsidP="00197533">
      <w:pPr>
        <w:pStyle w:val="Default"/>
        <w:rPr>
          <w:b/>
          <w:snapToGrid w:val="0"/>
          <w:color w:val="auto"/>
          <w:lang w:val="en-US"/>
        </w:rPr>
      </w:pPr>
    </w:p>
    <w:tbl>
      <w:tblPr>
        <w:tblW w:w="1387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92"/>
        <w:gridCol w:w="898"/>
        <w:gridCol w:w="2187"/>
        <w:gridCol w:w="1843"/>
        <w:gridCol w:w="1701"/>
        <w:gridCol w:w="1701"/>
        <w:gridCol w:w="1276"/>
        <w:gridCol w:w="1134"/>
        <w:gridCol w:w="1134"/>
        <w:gridCol w:w="1008"/>
      </w:tblGrid>
      <w:tr w:rsidR="0040116A" w:rsidRPr="00DB3A4A" w:rsidTr="00F266FD">
        <w:tc>
          <w:tcPr>
            <w:tcW w:w="992"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rPr>
            </w:pPr>
            <w:proofErr w:type="spellStart"/>
            <w:r w:rsidRPr="00DB3A4A">
              <w:rPr>
                <w:b/>
                <w:bCs/>
                <w:sz w:val="20"/>
                <w:szCs w:val="20"/>
              </w:rPr>
              <w:t>Author</w:t>
            </w:r>
            <w:proofErr w:type="spellEnd"/>
            <w:r w:rsidRPr="00DB3A4A">
              <w:rPr>
                <w:b/>
                <w:bCs/>
                <w:sz w:val="20"/>
                <w:szCs w:val="20"/>
              </w:rPr>
              <w:t xml:space="preserve"> </w:t>
            </w:r>
          </w:p>
          <w:p w:rsidR="00836A18" w:rsidRDefault="0040116A" w:rsidP="00836A18">
            <w:pPr>
              <w:autoSpaceDE w:val="0"/>
              <w:autoSpaceDN w:val="0"/>
              <w:adjustRightInd w:val="0"/>
              <w:rPr>
                <w:b/>
                <w:bCs/>
                <w:sz w:val="20"/>
                <w:szCs w:val="20"/>
              </w:rPr>
            </w:pPr>
            <w:proofErr w:type="spellStart"/>
            <w:r w:rsidRPr="00DB3A4A">
              <w:rPr>
                <w:b/>
                <w:bCs/>
                <w:sz w:val="20"/>
                <w:szCs w:val="20"/>
              </w:rPr>
              <w:t>Year</w:t>
            </w:r>
            <w:proofErr w:type="spellEnd"/>
            <w:r w:rsidRPr="00DB3A4A">
              <w:rPr>
                <w:b/>
                <w:bCs/>
                <w:sz w:val="20"/>
                <w:szCs w:val="20"/>
              </w:rPr>
              <w:t xml:space="preserve"> </w:t>
            </w:r>
          </w:p>
          <w:p w:rsidR="0040116A" w:rsidRPr="00DB3A4A" w:rsidRDefault="00836A18" w:rsidP="00836A18">
            <w:pPr>
              <w:autoSpaceDE w:val="0"/>
              <w:autoSpaceDN w:val="0"/>
              <w:adjustRightInd w:val="0"/>
              <w:rPr>
                <w:b/>
                <w:sz w:val="20"/>
                <w:szCs w:val="20"/>
              </w:rPr>
            </w:pPr>
            <w:r>
              <w:rPr>
                <w:b/>
                <w:bCs/>
                <w:sz w:val="20"/>
                <w:szCs w:val="20"/>
              </w:rPr>
              <w:t>(</w:t>
            </w:r>
            <w:r>
              <w:rPr>
                <w:b/>
                <w:bCs/>
                <w:sz w:val="20"/>
                <w:szCs w:val="20"/>
                <w:lang w:val="en-US"/>
              </w:rPr>
              <w:t>ref nr)</w:t>
            </w:r>
          </w:p>
        </w:tc>
        <w:tc>
          <w:tcPr>
            <w:tcW w:w="898"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rPr>
            </w:pPr>
            <w:r w:rsidRPr="00DB3A4A">
              <w:rPr>
                <w:b/>
                <w:bCs/>
                <w:sz w:val="20"/>
                <w:szCs w:val="20"/>
              </w:rPr>
              <w:t xml:space="preserve">Expo-sure </w:t>
            </w:r>
          </w:p>
        </w:tc>
        <w:tc>
          <w:tcPr>
            <w:tcW w:w="2187"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rPr>
            </w:pPr>
            <w:proofErr w:type="spellStart"/>
            <w:r w:rsidRPr="00DB3A4A">
              <w:rPr>
                <w:b/>
                <w:bCs/>
                <w:sz w:val="20"/>
                <w:szCs w:val="20"/>
              </w:rPr>
              <w:t>Dietary</w:t>
            </w:r>
            <w:proofErr w:type="spellEnd"/>
            <w:r w:rsidRPr="00DB3A4A">
              <w:rPr>
                <w:b/>
                <w:bCs/>
                <w:sz w:val="20"/>
                <w:szCs w:val="20"/>
              </w:rPr>
              <w:t xml:space="preserve"> </w:t>
            </w:r>
            <w:proofErr w:type="spellStart"/>
            <w:r w:rsidRPr="00DB3A4A">
              <w:rPr>
                <w:b/>
                <w:bCs/>
                <w:sz w:val="20"/>
                <w:szCs w:val="20"/>
              </w:rPr>
              <w:t>Assessment</w:t>
            </w:r>
            <w:proofErr w:type="spellEnd"/>
            <w:r w:rsidRPr="00DB3A4A">
              <w:rPr>
                <w:b/>
                <w:bCs/>
                <w:sz w:val="20"/>
                <w:szCs w:val="20"/>
              </w:rPr>
              <w:t xml:space="preserve"> </w:t>
            </w:r>
            <w:proofErr w:type="spellStart"/>
            <w:r w:rsidRPr="00DB3A4A">
              <w:rPr>
                <w:b/>
                <w:bCs/>
                <w:sz w:val="20"/>
                <w:szCs w:val="20"/>
              </w:rPr>
              <w:t>Method</w:t>
            </w:r>
            <w:proofErr w:type="spellEnd"/>
            <w:r w:rsidRPr="00DB3A4A">
              <w:rPr>
                <w:b/>
                <w:bCs/>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b/>
                <w:bCs/>
                <w:sz w:val="20"/>
                <w:szCs w:val="20"/>
                <w:lang w:val="en-US"/>
              </w:rPr>
            </w:pPr>
            <w:r w:rsidRPr="00DB3A4A">
              <w:rPr>
                <w:b/>
                <w:bCs/>
                <w:sz w:val="20"/>
                <w:szCs w:val="20"/>
                <w:lang w:val="en-US"/>
              </w:rPr>
              <w:t xml:space="preserve">Food Composition Database*** </w:t>
            </w:r>
          </w:p>
          <w:p w:rsidR="0040116A" w:rsidRPr="00DB3A4A" w:rsidRDefault="0040116A" w:rsidP="001A40F6">
            <w:pPr>
              <w:autoSpaceDE w:val="0"/>
              <w:autoSpaceDN w:val="0"/>
              <w:adjustRightInd w:val="0"/>
              <w:rPr>
                <w:b/>
                <w:snapToGrid w:val="0"/>
                <w:sz w:val="20"/>
                <w:szCs w:val="20"/>
                <w:lang w:val="en-GB"/>
              </w:rPr>
            </w:pPr>
          </w:p>
          <w:p w:rsidR="0040116A" w:rsidRPr="00DB3A4A" w:rsidRDefault="0040116A" w:rsidP="001A40F6">
            <w:pPr>
              <w:autoSpaceDE w:val="0"/>
              <w:autoSpaceDN w:val="0"/>
              <w:adjustRightInd w:val="0"/>
              <w:rPr>
                <w:sz w:val="20"/>
                <w:szCs w:val="20"/>
                <w:lang w:val="en-US"/>
              </w:rPr>
            </w:pPr>
            <w:r w:rsidRPr="00DB3A4A">
              <w:rPr>
                <w:b/>
                <w:snapToGrid w:val="0"/>
                <w:sz w:val="20"/>
                <w:szCs w:val="20"/>
                <w:lang w:val="en-GB"/>
              </w:rPr>
              <w:t>Definition of relevant nutrient ****</w:t>
            </w:r>
          </w:p>
        </w:tc>
        <w:tc>
          <w:tcPr>
            <w:tcW w:w="1701"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lang w:val="en-US"/>
              </w:rPr>
            </w:pPr>
            <w:r w:rsidRPr="00DB3A4A">
              <w:rPr>
                <w:b/>
                <w:bCs/>
                <w:sz w:val="20"/>
                <w:szCs w:val="20"/>
                <w:lang w:val="en-US"/>
              </w:rPr>
              <w:t>Internal Calibration (or Validity) of Dietary Assessment? (</w:t>
            </w:r>
            <w:r w:rsidRPr="00DB3A4A">
              <w:rPr>
                <w:bCs/>
                <w:sz w:val="20"/>
                <w:szCs w:val="20"/>
                <w:lang w:val="en-US"/>
              </w:rPr>
              <w:t>y/n</w:t>
            </w:r>
            <w:r w:rsidRPr="00DB3A4A">
              <w:rPr>
                <w:b/>
                <w:bCs/>
                <w:sz w:val="20"/>
                <w:szCs w:val="20"/>
                <w:lang w:val="en-US"/>
              </w:rPr>
              <w:t xml:space="preserve">). If Yes, Provide Data </w:t>
            </w:r>
          </w:p>
        </w:tc>
        <w:tc>
          <w:tcPr>
            <w:tcW w:w="1701"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lang w:val="en-US"/>
              </w:rPr>
            </w:pPr>
            <w:r w:rsidRPr="00DB3A4A">
              <w:rPr>
                <w:b/>
                <w:bCs/>
                <w:sz w:val="20"/>
                <w:szCs w:val="20"/>
                <w:lang w:val="en-US"/>
              </w:rPr>
              <w:t xml:space="preserve">Biomarker Assay***** </w:t>
            </w:r>
          </w:p>
        </w:tc>
        <w:tc>
          <w:tcPr>
            <w:tcW w:w="1276"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b/>
                <w:bCs/>
                <w:sz w:val="20"/>
                <w:szCs w:val="20"/>
                <w:lang w:val="en-US"/>
              </w:rPr>
            </w:pPr>
            <w:r w:rsidRPr="00DB3A4A">
              <w:rPr>
                <w:b/>
                <w:bCs/>
                <w:sz w:val="20"/>
                <w:szCs w:val="20"/>
                <w:lang w:val="en-US"/>
              </w:rPr>
              <w:t>Analytical Validity of Biomarker Data Reported? (</w:t>
            </w:r>
            <w:r w:rsidRPr="00DB3A4A">
              <w:rPr>
                <w:bCs/>
                <w:sz w:val="20"/>
                <w:szCs w:val="20"/>
                <w:lang w:val="en-US"/>
              </w:rPr>
              <w:t>y/n</w:t>
            </w:r>
            <w:r w:rsidRPr="00DB3A4A">
              <w:rPr>
                <w:b/>
                <w:bCs/>
                <w:sz w:val="20"/>
                <w:szCs w:val="20"/>
                <w:lang w:val="en-US"/>
              </w:rPr>
              <w:t xml:space="preserve">).  </w:t>
            </w:r>
          </w:p>
          <w:p w:rsidR="0040116A" w:rsidRPr="00DB3A4A" w:rsidRDefault="0040116A" w:rsidP="001A40F6">
            <w:pPr>
              <w:autoSpaceDE w:val="0"/>
              <w:autoSpaceDN w:val="0"/>
              <w:adjustRightInd w:val="0"/>
              <w:rPr>
                <w:sz w:val="20"/>
                <w:szCs w:val="20"/>
                <w:lang w:val="en-US"/>
              </w:rPr>
            </w:pPr>
            <w:r w:rsidRPr="00DB3A4A">
              <w:rPr>
                <w:b/>
                <w:bCs/>
                <w:sz w:val="20"/>
                <w:szCs w:val="20"/>
                <w:lang w:val="en-US"/>
              </w:rPr>
              <w:t xml:space="preserve">If Yes, Provide Data </w:t>
            </w:r>
          </w:p>
        </w:tc>
        <w:tc>
          <w:tcPr>
            <w:tcW w:w="1134"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lang w:val="en-US"/>
              </w:rPr>
            </w:pPr>
            <w:r w:rsidRPr="00DB3A4A">
              <w:rPr>
                <w:b/>
                <w:bCs/>
                <w:sz w:val="20"/>
                <w:szCs w:val="20"/>
                <w:lang w:val="en-US"/>
              </w:rPr>
              <w:t xml:space="preserve">Time between Biomarker Sampling and Analysis </w:t>
            </w:r>
          </w:p>
        </w:tc>
        <w:tc>
          <w:tcPr>
            <w:tcW w:w="1134"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lang w:val="en-US"/>
              </w:rPr>
            </w:pPr>
            <w:r w:rsidRPr="00DB3A4A">
              <w:rPr>
                <w:b/>
                <w:bCs/>
                <w:sz w:val="20"/>
                <w:szCs w:val="20"/>
                <w:lang w:val="en-US"/>
              </w:rPr>
              <w:t xml:space="preserve">Season/Date when biomarker samples were drawn </w:t>
            </w:r>
          </w:p>
        </w:tc>
        <w:tc>
          <w:tcPr>
            <w:tcW w:w="1008" w:type="dxa"/>
            <w:tcBorders>
              <w:top w:val="single" w:sz="8" w:space="0" w:color="000000"/>
              <w:left w:val="single" w:sz="8" w:space="0" w:color="000000"/>
              <w:bottom w:val="single" w:sz="8" w:space="0" w:color="000000"/>
              <w:right w:val="single" w:sz="8" w:space="0" w:color="000000"/>
            </w:tcBorders>
          </w:tcPr>
          <w:p w:rsidR="0040116A" w:rsidRPr="00DB3A4A" w:rsidRDefault="0040116A" w:rsidP="001A40F6">
            <w:pPr>
              <w:autoSpaceDE w:val="0"/>
              <w:autoSpaceDN w:val="0"/>
              <w:adjustRightInd w:val="0"/>
              <w:rPr>
                <w:sz w:val="20"/>
                <w:szCs w:val="20"/>
                <w:lang w:val="en-US"/>
              </w:rPr>
            </w:pPr>
            <w:r w:rsidRPr="00DB3A4A">
              <w:rPr>
                <w:b/>
                <w:bCs/>
                <w:sz w:val="20"/>
                <w:szCs w:val="20"/>
                <w:lang w:val="en-US"/>
              </w:rPr>
              <w:t xml:space="preserve">Background exposure data </w:t>
            </w:r>
          </w:p>
        </w:tc>
      </w:tr>
      <w:tr w:rsidR="00F266FD" w:rsidRPr="00DB3A4A" w:rsidTr="00F266FD">
        <w:trPr>
          <w:trHeight w:val="3967"/>
        </w:trPr>
        <w:tc>
          <w:tcPr>
            <w:tcW w:w="992" w:type="dxa"/>
            <w:tcBorders>
              <w:top w:val="single" w:sz="8" w:space="0" w:color="000000"/>
              <w:left w:val="single" w:sz="8" w:space="0" w:color="000000"/>
              <w:bottom w:val="single" w:sz="8" w:space="0" w:color="000000"/>
              <w:right w:val="single" w:sz="8" w:space="0" w:color="000000"/>
            </w:tcBorders>
          </w:tcPr>
          <w:p w:rsidR="00836A18" w:rsidRDefault="00F266FD" w:rsidP="00F83504">
            <w:pPr>
              <w:rPr>
                <w:sz w:val="18"/>
                <w:szCs w:val="18"/>
                <w:lang w:val="en-US"/>
              </w:rPr>
            </w:pPr>
            <w:proofErr w:type="spellStart"/>
            <w:r w:rsidRPr="00F266FD">
              <w:rPr>
                <w:sz w:val="18"/>
                <w:szCs w:val="18"/>
                <w:lang w:val="en-US"/>
              </w:rPr>
              <w:t>Alexy</w:t>
            </w:r>
            <w:proofErr w:type="spellEnd"/>
            <w:r w:rsidRPr="00F266FD">
              <w:rPr>
                <w:sz w:val="18"/>
                <w:szCs w:val="18"/>
                <w:lang w:val="en-US"/>
              </w:rPr>
              <w:t>, 2005</w:t>
            </w:r>
          </w:p>
          <w:p w:rsidR="00F266FD" w:rsidRPr="00F266FD" w:rsidRDefault="00836A18" w:rsidP="00F83504">
            <w:pPr>
              <w:rPr>
                <w:sz w:val="18"/>
                <w:szCs w:val="18"/>
                <w:lang w:val="en-US"/>
              </w:rPr>
            </w:pPr>
            <w:r>
              <w:rPr>
                <w:sz w:val="18"/>
                <w:szCs w:val="18"/>
                <w:lang w:val="en-US"/>
              </w:rPr>
              <w:t>(47)</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D74CA8">
            <w:pPr>
              <w:autoSpaceDE w:val="0"/>
              <w:autoSpaceDN w:val="0"/>
              <w:adjustRightInd w:val="0"/>
              <w:spacing w:before="60"/>
              <w:rPr>
                <w:snapToGrid w:val="0"/>
                <w:color w:val="000000"/>
                <w:sz w:val="18"/>
                <w:szCs w:val="18"/>
                <w:lang w:val="en-GB"/>
              </w:rPr>
            </w:pPr>
            <w:r w:rsidRPr="00F266FD">
              <w:rPr>
                <w:snapToGrid w:val="0"/>
                <w:color w:val="000000"/>
                <w:sz w:val="18"/>
                <w:szCs w:val="18"/>
                <w:lang w:val="en-GB"/>
              </w:rPr>
              <w:t>Potential renal acid load (PRAL) calculated from dietary protein, P, Mg, K.</w:t>
            </w:r>
          </w:p>
          <w:p w:rsidR="00F266FD" w:rsidRPr="00F266FD" w:rsidRDefault="00F266FD" w:rsidP="00D74CA8">
            <w:pPr>
              <w:autoSpaceDE w:val="0"/>
              <w:autoSpaceDN w:val="0"/>
              <w:adjustRightInd w:val="0"/>
              <w:rPr>
                <w:bCs/>
                <w:color w:val="000000"/>
                <w:sz w:val="18"/>
                <w:szCs w:val="18"/>
                <w:lang w:val="en-GB"/>
              </w:rPr>
            </w:pPr>
            <w:r w:rsidRPr="00F266FD">
              <w:rPr>
                <w:snapToGrid w:val="0"/>
                <w:sz w:val="18"/>
                <w:szCs w:val="18"/>
                <w:lang w:val="en-GB"/>
              </w:rPr>
              <w:t xml:space="preserve">Exposure to protein, PRAL and </w:t>
            </w:r>
            <w:proofErr w:type="spellStart"/>
            <w:r w:rsidRPr="00F266FD">
              <w:rPr>
                <w:snapToGrid w:val="0"/>
                <w:sz w:val="18"/>
                <w:szCs w:val="18"/>
                <w:lang w:val="en-GB"/>
              </w:rPr>
              <w:t>Ca</w:t>
            </w:r>
            <w:proofErr w:type="spellEnd"/>
            <w:r w:rsidRPr="00F266FD">
              <w:rPr>
                <w:snapToGrid w:val="0"/>
                <w:sz w:val="18"/>
                <w:szCs w:val="18"/>
                <w:lang w:val="en-GB"/>
              </w:rPr>
              <w:t xml:space="preserve"> = input</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D74CA8">
            <w:pPr>
              <w:autoSpaceDE w:val="0"/>
              <w:autoSpaceDN w:val="0"/>
              <w:adjustRightInd w:val="0"/>
              <w:spacing w:before="60"/>
              <w:rPr>
                <w:snapToGrid w:val="0"/>
                <w:color w:val="000000"/>
                <w:sz w:val="18"/>
                <w:szCs w:val="18"/>
                <w:lang w:val="en-GB"/>
              </w:rPr>
            </w:pPr>
            <w:r w:rsidRPr="00F266FD">
              <w:rPr>
                <w:snapToGrid w:val="0"/>
                <w:color w:val="000000"/>
                <w:sz w:val="18"/>
                <w:szCs w:val="18"/>
                <w:lang w:val="en-GB"/>
              </w:rPr>
              <w:t>3-d weighed records</w:t>
            </w:r>
          </w:p>
          <w:p w:rsidR="00F266FD" w:rsidRPr="00F266FD" w:rsidRDefault="00F266FD" w:rsidP="00D74CA8">
            <w:pPr>
              <w:autoSpaceDE w:val="0"/>
              <w:autoSpaceDN w:val="0"/>
              <w:adjustRightInd w:val="0"/>
              <w:rPr>
                <w:bCs/>
                <w:color w:val="000000"/>
                <w:sz w:val="18"/>
                <w:szCs w:val="18"/>
                <w:lang w:val="en-US"/>
              </w:rPr>
            </w:pPr>
            <w:proofErr w:type="spellStart"/>
            <w:r w:rsidRPr="00F266FD">
              <w:rPr>
                <w:snapToGrid w:val="0"/>
                <w:sz w:val="18"/>
                <w:szCs w:val="18"/>
                <w:lang w:val="en-GB"/>
              </w:rPr>
              <w:t>Semiquantitative</w:t>
            </w:r>
            <w:proofErr w:type="spellEnd"/>
            <w:r w:rsidRPr="00F266FD">
              <w:rPr>
                <w:snapToGrid w:val="0"/>
                <w:sz w:val="18"/>
                <w:szCs w:val="18"/>
                <w:lang w:val="en-GB"/>
              </w:rPr>
              <w:t xml:space="preserve"> recording allowed if weighing not possible (In 75% of completed records &gt;90% of food items weighed</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D74CA8">
            <w:pPr>
              <w:autoSpaceDE w:val="0"/>
              <w:autoSpaceDN w:val="0"/>
              <w:adjustRightInd w:val="0"/>
              <w:spacing w:before="60"/>
              <w:rPr>
                <w:bCs/>
                <w:color w:val="000000"/>
                <w:sz w:val="18"/>
                <w:szCs w:val="18"/>
                <w:lang w:val="en-US"/>
              </w:rPr>
            </w:pPr>
            <w:r w:rsidRPr="00F266FD">
              <w:rPr>
                <w:bCs/>
                <w:color w:val="000000"/>
                <w:sz w:val="18"/>
                <w:szCs w:val="18"/>
                <w:lang w:val="en-US"/>
              </w:rPr>
              <w:t>LEBTAB</w:t>
            </w:r>
          </w:p>
          <w:p w:rsidR="00F266FD" w:rsidRPr="00F266FD" w:rsidRDefault="00F266FD" w:rsidP="00D74CA8">
            <w:pPr>
              <w:autoSpaceDE w:val="0"/>
              <w:autoSpaceDN w:val="0"/>
              <w:adjustRightInd w:val="0"/>
              <w:spacing w:before="60"/>
              <w:rPr>
                <w:bCs/>
                <w:color w:val="000000"/>
                <w:sz w:val="18"/>
                <w:szCs w:val="18"/>
                <w:lang w:val="en-GB"/>
              </w:rPr>
            </w:pPr>
            <w:r w:rsidRPr="00F266FD">
              <w:rPr>
                <w:bCs/>
                <w:color w:val="000000"/>
                <w:sz w:val="18"/>
                <w:szCs w:val="18"/>
                <w:lang w:val="en-GB"/>
              </w:rPr>
              <w:t>Protein (g/d, g/MJ, g/kg)</w:t>
            </w:r>
          </w:p>
          <w:p w:rsidR="00F266FD" w:rsidRPr="00F266FD" w:rsidRDefault="00F266FD" w:rsidP="00D74CA8">
            <w:pPr>
              <w:autoSpaceDE w:val="0"/>
              <w:autoSpaceDN w:val="0"/>
              <w:adjustRightInd w:val="0"/>
              <w:spacing w:before="60"/>
              <w:rPr>
                <w:bCs/>
                <w:color w:val="000000"/>
                <w:sz w:val="18"/>
                <w:szCs w:val="18"/>
                <w:lang w:val="en-GB"/>
              </w:rPr>
            </w:pPr>
            <w:r w:rsidRPr="00F266FD">
              <w:rPr>
                <w:bCs/>
                <w:color w:val="000000"/>
                <w:sz w:val="18"/>
                <w:szCs w:val="18"/>
                <w:lang w:val="en-GB"/>
              </w:rPr>
              <w:t>PRAL (</w:t>
            </w:r>
            <w:proofErr w:type="spellStart"/>
            <w:r w:rsidRPr="00F266FD">
              <w:rPr>
                <w:bCs/>
                <w:color w:val="000000"/>
                <w:sz w:val="18"/>
                <w:szCs w:val="18"/>
                <w:lang w:val="en-GB"/>
              </w:rPr>
              <w:t>mEq</w:t>
            </w:r>
            <w:proofErr w:type="spellEnd"/>
            <w:r w:rsidRPr="00F266FD">
              <w:rPr>
                <w:bCs/>
                <w:color w:val="000000"/>
                <w:sz w:val="18"/>
                <w:szCs w:val="18"/>
                <w:lang w:val="en-GB"/>
              </w:rPr>
              <w:t xml:space="preserve">/d, </w:t>
            </w:r>
            <w:proofErr w:type="spellStart"/>
            <w:r w:rsidRPr="00F266FD">
              <w:rPr>
                <w:bCs/>
                <w:color w:val="000000"/>
                <w:sz w:val="18"/>
                <w:szCs w:val="18"/>
                <w:lang w:val="en-GB"/>
              </w:rPr>
              <w:t>mEq</w:t>
            </w:r>
            <w:proofErr w:type="spellEnd"/>
            <w:r w:rsidRPr="00F266FD">
              <w:rPr>
                <w:bCs/>
                <w:color w:val="000000"/>
                <w:sz w:val="18"/>
                <w:szCs w:val="18"/>
                <w:lang w:val="en-GB"/>
              </w:rPr>
              <w:t>/MJ)</w:t>
            </w:r>
          </w:p>
          <w:p w:rsidR="00F266FD" w:rsidRPr="00F266FD" w:rsidRDefault="00F266FD" w:rsidP="00D74CA8">
            <w:pPr>
              <w:autoSpaceDE w:val="0"/>
              <w:autoSpaceDN w:val="0"/>
              <w:adjustRightInd w:val="0"/>
              <w:spacing w:before="60"/>
              <w:rPr>
                <w:bCs/>
                <w:color w:val="000000"/>
                <w:sz w:val="18"/>
                <w:szCs w:val="18"/>
                <w:lang w:val="en-GB"/>
              </w:rPr>
            </w:pPr>
            <w:proofErr w:type="spellStart"/>
            <w:r w:rsidRPr="00F266FD">
              <w:rPr>
                <w:bCs/>
                <w:color w:val="000000"/>
                <w:sz w:val="18"/>
                <w:szCs w:val="18"/>
                <w:lang w:val="en-GB"/>
              </w:rPr>
              <w:t>Ca</w:t>
            </w:r>
            <w:proofErr w:type="spellEnd"/>
            <w:r w:rsidRPr="00F266FD">
              <w:rPr>
                <w:bCs/>
                <w:color w:val="000000"/>
                <w:sz w:val="18"/>
                <w:szCs w:val="18"/>
                <w:lang w:val="en-GB"/>
              </w:rPr>
              <w:t xml:space="preserve"> (mg/d, mg/MJ)</w:t>
            </w:r>
          </w:p>
          <w:p w:rsidR="00F266FD" w:rsidRPr="00F266FD" w:rsidRDefault="00F266FD" w:rsidP="00D74CA8">
            <w:pPr>
              <w:autoSpaceDE w:val="0"/>
              <w:autoSpaceDN w:val="0"/>
              <w:adjustRightInd w:val="0"/>
              <w:spacing w:before="60"/>
              <w:rPr>
                <w:bCs/>
                <w:color w:val="000000"/>
                <w:sz w:val="18"/>
                <w:szCs w:val="18"/>
                <w:lang w:val="nb-NO"/>
              </w:rPr>
            </w:pPr>
            <w:r w:rsidRPr="00F266FD">
              <w:rPr>
                <w:bCs/>
                <w:color w:val="000000"/>
                <w:sz w:val="18"/>
                <w:szCs w:val="18"/>
                <w:lang w:val="nb-NO"/>
              </w:rPr>
              <w:t>Ca:protein (mg/g)</w:t>
            </w:r>
          </w:p>
          <w:p w:rsidR="00F266FD" w:rsidRPr="00F266FD" w:rsidRDefault="00F266FD" w:rsidP="00D74CA8">
            <w:pPr>
              <w:autoSpaceDE w:val="0"/>
              <w:autoSpaceDN w:val="0"/>
              <w:adjustRightInd w:val="0"/>
              <w:rPr>
                <w:bCs/>
                <w:color w:val="000000"/>
                <w:sz w:val="18"/>
                <w:szCs w:val="18"/>
                <w:lang w:val="nb-NO"/>
              </w:rPr>
            </w:pPr>
            <w:r w:rsidRPr="00F266FD">
              <w:rPr>
                <w:bCs/>
                <w:color w:val="000000"/>
                <w:sz w:val="18"/>
                <w:szCs w:val="18"/>
                <w:lang w:val="nb-NO"/>
              </w:rPr>
              <w:t>Mg, P, K</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r w:rsidRPr="00F266FD">
              <w:rPr>
                <w:bCs/>
                <w:color w:val="000000"/>
                <w:sz w:val="18"/>
                <w:szCs w:val="18"/>
                <w:lang w:val="en-US"/>
              </w:rPr>
              <w:t xml:space="preserve">Reported energy validated by Goldberg cutoff with BMR calculated w </w:t>
            </w:r>
            <w:proofErr w:type="spellStart"/>
            <w:r w:rsidRPr="00F266FD">
              <w:rPr>
                <w:bCs/>
                <w:color w:val="000000"/>
                <w:sz w:val="18"/>
                <w:szCs w:val="18"/>
                <w:lang w:val="en-US"/>
              </w:rPr>
              <w:t>Shofield</w:t>
            </w:r>
            <w:proofErr w:type="spellEnd"/>
            <w:r w:rsidRPr="00F266FD">
              <w:rPr>
                <w:bCs/>
                <w:color w:val="000000"/>
                <w:sz w:val="18"/>
                <w:szCs w:val="18"/>
                <w:lang w:val="en-US"/>
              </w:rPr>
              <w:t xml:space="preserve"> equation and PAL=light activity. Implausible records excluded but cut offs and number non-valid not given</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E81138" w:rsidTr="00F266FD">
        <w:tc>
          <w:tcPr>
            <w:tcW w:w="992" w:type="dxa"/>
            <w:tcBorders>
              <w:top w:val="single" w:sz="8" w:space="0" w:color="000000"/>
              <w:left w:val="single" w:sz="8" w:space="0" w:color="000000"/>
              <w:bottom w:val="single" w:sz="8" w:space="0" w:color="000000"/>
              <w:right w:val="single" w:sz="8" w:space="0" w:color="000000"/>
            </w:tcBorders>
          </w:tcPr>
          <w:p w:rsidR="00F266FD" w:rsidRPr="00F266FD" w:rsidRDefault="00534085" w:rsidP="00534085">
            <w:pPr>
              <w:pStyle w:val="Default"/>
              <w:rPr>
                <w:snapToGrid w:val="0"/>
                <w:sz w:val="18"/>
                <w:szCs w:val="18"/>
                <w:lang w:val="en-GB"/>
              </w:rPr>
            </w:pPr>
            <w:r>
              <w:rPr>
                <w:snapToGrid w:val="0"/>
                <w:sz w:val="18"/>
                <w:szCs w:val="18"/>
                <w:lang w:val="en-GB"/>
              </w:rPr>
              <w:t>Bounds 2005</w:t>
            </w:r>
            <w:r w:rsidR="00F266FD" w:rsidRPr="00F266FD">
              <w:rPr>
                <w:snapToGrid w:val="0"/>
                <w:sz w:val="18"/>
                <w:szCs w:val="18"/>
                <w:lang w:val="en-GB"/>
              </w:rPr>
              <w:t xml:space="preserve">, </w:t>
            </w:r>
            <w:r w:rsidR="00836A18">
              <w:rPr>
                <w:snapToGrid w:val="0"/>
                <w:sz w:val="18"/>
                <w:szCs w:val="18"/>
                <w:lang w:val="en-GB"/>
              </w:rPr>
              <w:t>(48)</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F83504">
            <w:pPr>
              <w:autoSpaceDE w:val="0"/>
              <w:autoSpaceDN w:val="0"/>
              <w:adjustRightInd w:val="0"/>
              <w:rPr>
                <w:bCs/>
                <w:color w:val="000000"/>
                <w:sz w:val="18"/>
                <w:szCs w:val="18"/>
                <w:lang w:val="en-GB"/>
              </w:rPr>
            </w:pPr>
            <w:r w:rsidRPr="00F266FD">
              <w:rPr>
                <w:rFonts w:eastAsia="Calibri"/>
                <w:sz w:val="18"/>
                <w:szCs w:val="18"/>
                <w:lang w:val="en-US" w:eastAsia="en-US"/>
              </w:rPr>
              <w:t xml:space="preserve">Children’s dietary intake, height, weight, and level of sedentary activity were assessed </w:t>
            </w:r>
            <w:r w:rsidRPr="00F266FD">
              <w:rPr>
                <w:rFonts w:eastAsia="Calibri"/>
                <w:sz w:val="18"/>
                <w:szCs w:val="18"/>
                <w:lang w:val="en-US" w:eastAsia="en-US"/>
              </w:rPr>
              <w:lastRenderedPageBreak/>
              <w:t>as part of a longitudinal study from ages 2 months to 8 years</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F83504">
            <w:pPr>
              <w:autoSpaceDE w:val="0"/>
              <w:autoSpaceDN w:val="0"/>
              <w:adjustRightInd w:val="0"/>
              <w:rPr>
                <w:bCs/>
                <w:color w:val="000000"/>
                <w:sz w:val="18"/>
                <w:szCs w:val="18"/>
                <w:lang w:val="en-US"/>
              </w:rPr>
            </w:pPr>
            <w:r w:rsidRPr="00F266FD">
              <w:rPr>
                <w:rFonts w:eastAsia="Calibri"/>
                <w:sz w:val="18"/>
                <w:szCs w:val="18"/>
                <w:lang w:val="en-US" w:eastAsia="en-US"/>
              </w:rPr>
              <w:lastRenderedPageBreak/>
              <w:t>Total BMC (bone mineral content, g) and BMD (bone mineral density, g/cm</w:t>
            </w:r>
            <w:r w:rsidRPr="00F266FD">
              <w:rPr>
                <w:rFonts w:eastAsia="Calibri"/>
                <w:sz w:val="18"/>
                <w:szCs w:val="18"/>
                <w:vertAlign w:val="superscript"/>
                <w:lang w:val="en-US" w:eastAsia="en-US"/>
              </w:rPr>
              <w:t>2</w:t>
            </w:r>
            <w:r w:rsidRPr="00F266FD">
              <w:rPr>
                <w:rFonts w:eastAsia="Calibri"/>
                <w:sz w:val="18"/>
                <w:szCs w:val="18"/>
                <w:lang w:val="en-US" w:eastAsia="en-US"/>
              </w:rPr>
              <w:t>) at age 8 years.</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F83504">
            <w:pPr>
              <w:autoSpaceDE w:val="0"/>
              <w:autoSpaceDN w:val="0"/>
              <w:adjustRightInd w:val="0"/>
              <w:rPr>
                <w:bCs/>
                <w:color w:val="000000"/>
                <w:sz w:val="18"/>
                <w:szCs w:val="18"/>
                <w:lang w:val="en-US"/>
              </w:rPr>
            </w:pPr>
            <w:r w:rsidRPr="00F266FD">
              <w:rPr>
                <w:bCs/>
                <w:color w:val="000000"/>
                <w:sz w:val="18"/>
                <w:szCs w:val="18"/>
                <w:lang w:val="en-US"/>
              </w:rPr>
              <w:t xml:space="preserve">Nutritionist IV software (First Data Bank, San Bruno, CA). Nutritionist IV version 3.5 was used for the dietary data obtained at interviews at ages 2.3 and 2.8 years, and version 4.1 was used for data from all remaining </w:t>
            </w:r>
            <w:r w:rsidRPr="00F266FD">
              <w:rPr>
                <w:bCs/>
                <w:color w:val="000000"/>
                <w:sz w:val="18"/>
                <w:szCs w:val="18"/>
                <w:lang w:val="en-US"/>
              </w:rPr>
              <w:lastRenderedPageBreak/>
              <w:t>interviews.</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r w:rsidRPr="00F266FD">
              <w:rPr>
                <w:bCs/>
                <w:color w:val="000000"/>
                <w:sz w:val="18"/>
                <w:szCs w:val="18"/>
                <w:lang w:val="en-US"/>
              </w:rPr>
              <w:lastRenderedPageBreak/>
              <w:t>None</w:t>
            </w:r>
          </w:p>
          <w:p w:rsidR="00F266FD" w:rsidRPr="00F266FD" w:rsidRDefault="00F266FD" w:rsidP="001A40F6">
            <w:pPr>
              <w:autoSpaceDE w:val="0"/>
              <w:autoSpaceDN w:val="0"/>
              <w:adjustRightInd w:val="0"/>
              <w:rPr>
                <w:bCs/>
                <w:color w:val="000000"/>
                <w:sz w:val="18"/>
                <w:szCs w:val="18"/>
                <w:lang w:val="en-US"/>
              </w:rPr>
            </w:pPr>
            <w:r w:rsidRPr="00F266FD">
              <w:rPr>
                <w:rFonts w:eastAsia="Calibri"/>
                <w:sz w:val="18"/>
                <w:szCs w:val="18"/>
                <w:lang w:val="en-US" w:eastAsia="en-US"/>
              </w:rPr>
              <w:t>(but it is stated that throughout this longitudinal study, mothers received training from RDs on estimating portion sizes and keeping precise food records.</w:t>
            </w:r>
            <w:r w:rsidRPr="00F266FD">
              <w:rPr>
                <w:snapToGrid w:val="0"/>
                <w:sz w:val="18"/>
                <w:szCs w:val="18"/>
                <w:lang w:val="en-GB"/>
              </w:rPr>
              <w:t xml:space="preserve">and </w:t>
            </w:r>
            <w:r w:rsidRPr="00F266FD">
              <w:rPr>
                <w:rFonts w:eastAsia="Calibri"/>
                <w:sz w:val="18"/>
                <w:szCs w:val="18"/>
                <w:lang w:val="en-US" w:eastAsia="en-US"/>
              </w:rPr>
              <w:t xml:space="preserve">the RDs reviewed food </w:t>
            </w:r>
            <w:r w:rsidRPr="00F266FD">
              <w:rPr>
                <w:rFonts w:eastAsia="Calibri"/>
                <w:sz w:val="18"/>
                <w:szCs w:val="18"/>
                <w:lang w:val="en-US" w:eastAsia="en-US"/>
              </w:rPr>
              <w:lastRenderedPageBreak/>
              <w:t>records for completeness and accuracy at each interview)</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lastRenderedPageBreak/>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600614" w:rsidTr="00F266FD">
        <w:tc>
          <w:tcPr>
            <w:tcW w:w="992" w:type="dxa"/>
            <w:tcBorders>
              <w:top w:val="single" w:sz="8" w:space="0" w:color="000000"/>
              <w:left w:val="single" w:sz="8" w:space="0" w:color="000000"/>
              <w:bottom w:val="single" w:sz="8" w:space="0" w:color="000000"/>
              <w:right w:val="single" w:sz="8" w:space="0" w:color="000000"/>
            </w:tcBorders>
          </w:tcPr>
          <w:p w:rsidR="00F266FD" w:rsidRDefault="00F266FD" w:rsidP="00836A18">
            <w:pPr>
              <w:pStyle w:val="Default"/>
              <w:rPr>
                <w:snapToGrid w:val="0"/>
                <w:sz w:val="18"/>
                <w:szCs w:val="18"/>
                <w:lang w:val="en-GB"/>
              </w:rPr>
            </w:pPr>
            <w:proofErr w:type="spellStart"/>
            <w:r w:rsidRPr="00F266FD">
              <w:rPr>
                <w:snapToGrid w:val="0"/>
                <w:sz w:val="18"/>
                <w:szCs w:val="18"/>
                <w:lang w:val="en-GB"/>
              </w:rPr>
              <w:lastRenderedPageBreak/>
              <w:t>Budek</w:t>
            </w:r>
            <w:proofErr w:type="spellEnd"/>
            <w:r w:rsidRPr="00F266FD">
              <w:rPr>
                <w:snapToGrid w:val="0"/>
                <w:sz w:val="18"/>
                <w:szCs w:val="18"/>
                <w:lang w:val="en-GB"/>
              </w:rPr>
              <w:t xml:space="preserve">, 2007, </w:t>
            </w:r>
          </w:p>
          <w:p w:rsidR="00836A18" w:rsidRPr="00F266FD" w:rsidRDefault="00836A18" w:rsidP="00836A18">
            <w:pPr>
              <w:pStyle w:val="Default"/>
              <w:rPr>
                <w:snapToGrid w:val="0"/>
                <w:sz w:val="18"/>
                <w:szCs w:val="18"/>
                <w:lang w:val="en-GB"/>
              </w:rPr>
            </w:pPr>
            <w:r>
              <w:rPr>
                <w:snapToGrid w:val="0"/>
                <w:sz w:val="18"/>
                <w:szCs w:val="18"/>
                <w:lang w:val="en-GB"/>
              </w:rPr>
              <w:t>(49)</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6669E8">
            <w:pPr>
              <w:pStyle w:val="Default"/>
              <w:rPr>
                <w:snapToGrid w:val="0"/>
                <w:sz w:val="18"/>
                <w:szCs w:val="18"/>
                <w:lang w:val="en-GB"/>
              </w:rPr>
            </w:pPr>
            <w:r w:rsidRPr="00F266FD">
              <w:rPr>
                <w:snapToGrid w:val="0"/>
                <w:sz w:val="18"/>
                <w:szCs w:val="18"/>
                <w:lang w:val="en-GB"/>
              </w:rPr>
              <w:t>Milk and meat protein intake at 17 y.</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430EE5">
            <w:pPr>
              <w:autoSpaceDE w:val="0"/>
              <w:autoSpaceDN w:val="0"/>
              <w:adjustRightInd w:val="0"/>
              <w:rPr>
                <w:bCs/>
                <w:color w:val="000000"/>
                <w:sz w:val="18"/>
                <w:szCs w:val="18"/>
                <w:lang w:val="en-US"/>
              </w:rPr>
            </w:pPr>
            <w:r w:rsidRPr="00F266FD">
              <w:rPr>
                <w:snapToGrid w:val="0"/>
                <w:sz w:val="18"/>
                <w:szCs w:val="18"/>
                <w:lang w:val="en-GB"/>
              </w:rPr>
              <w:t xml:space="preserve">7-day food record with pre-coded response categories, supplemented with open-ended alternatives, household measurements and a series of 12 photographs for portion sizes. </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r w:rsidRPr="00F266FD">
              <w:rPr>
                <w:snapToGrid w:val="0"/>
                <w:sz w:val="18"/>
                <w:szCs w:val="18"/>
                <w:lang w:val="en-GB"/>
              </w:rPr>
              <w:t>the national food database</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proofErr w:type="spellStart"/>
            <w:r w:rsidRPr="00F266FD">
              <w:rPr>
                <w:bCs/>
                <w:color w:val="000000"/>
                <w:sz w:val="18"/>
                <w:szCs w:val="18"/>
                <w:lang w:val="en-US"/>
              </w:rPr>
              <w:t>nd</w:t>
            </w:r>
            <w:proofErr w:type="spellEnd"/>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600614" w:rsidTr="00F266FD">
        <w:tc>
          <w:tcPr>
            <w:tcW w:w="992" w:type="dxa"/>
            <w:tcBorders>
              <w:top w:val="single" w:sz="8" w:space="0" w:color="000000"/>
              <w:left w:val="single" w:sz="8" w:space="0" w:color="000000"/>
              <w:bottom w:val="single" w:sz="8" w:space="0" w:color="000000"/>
              <w:right w:val="single" w:sz="8" w:space="0" w:color="000000"/>
            </w:tcBorders>
          </w:tcPr>
          <w:p w:rsidR="00836A18" w:rsidRPr="00F266FD" w:rsidRDefault="00534085" w:rsidP="00836A18">
            <w:pPr>
              <w:pStyle w:val="Default"/>
              <w:rPr>
                <w:snapToGrid w:val="0"/>
                <w:sz w:val="18"/>
                <w:szCs w:val="18"/>
                <w:lang w:val="en-GB"/>
              </w:rPr>
            </w:pPr>
            <w:proofErr w:type="spellStart"/>
            <w:r>
              <w:rPr>
                <w:snapToGrid w:val="0"/>
                <w:sz w:val="18"/>
                <w:szCs w:val="18"/>
                <w:lang w:val="en-GB"/>
              </w:rPr>
              <w:t>Budek</w:t>
            </w:r>
            <w:proofErr w:type="spellEnd"/>
            <w:r>
              <w:rPr>
                <w:snapToGrid w:val="0"/>
                <w:sz w:val="18"/>
                <w:szCs w:val="18"/>
                <w:lang w:val="en-GB"/>
              </w:rPr>
              <w:t>, 2007)</w:t>
            </w:r>
          </w:p>
          <w:p w:rsidR="00F266FD" w:rsidRPr="00F266FD" w:rsidRDefault="00836A18" w:rsidP="006669E8">
            <w:pPr>
              <w:pStyle w:val="Default"/>
              <w:rPr>
                <w:snapToGrid w:val="0"/>
                <w:sz w:val="18"/>
                <w:szCs w:val="18"/>
                <w:lang w:val="en-GB"/>
              </w:rPr>
            </w:pPr>
            <w:r>
              <w:rPr>
                <w:snapToGrid w:val="0"/>
                <w:sz w:val="18"/>
                <w:szCs w:val="18"/>
                <w:lang w:val="en-GB"/>
              </w:rPr>
              <w:t>(14)</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GB"/>
              </w:rPr>
            </w:pPr>
            <w:r w:rsidRPr="00F266FD">
              <w:rPr>
                <w:snapToGrid w:val="0"/>
                <w:sz w:val="18"/>
                <w:szCs w:val="18"/>
                <w:lang w:val="en-GB"/>
              </w:rPr>
              <w:t>Intake of total, dairy and meat protein</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snapToGrid w:val="0"/>
                <w:sz w:val="18"/>
                <w:szCs w:val="18"/>
                <w:lang w:val="en-GB"/>
              </w:rPr>
            </w:pPr>
            <w:r w:rsidRPr="00F266FD">
              <w:rPr>
                <w:snapToGrid w:val="0"/>
                <w:sz w:val="18"/>
                <w:szCs w:val="18"/>
                <w:lang w:val="en-GB"/>
              </w:rPr>
              <w:t>3-d weighed food record (2 weekdays and 1 weekend day)</w:t>
            </w:r>
          </w:p>
          <w:p w:rsidR="00F266FD" w:rsidRPr="00F266FD" w:rsidRDefault="00F266FD" w:rsidP="00647246">
            <w:pPr>
              <w:autoSpaceDE w:val="0"/>
              <w:autoSpaceDN w:val="0"/>
              <w:adjustRightInd w:val="0"/>
              <w:rPr>
                <w:bCs/>
                <w:color w:val="000000"/>
                <w:sz w:val="18"/>
                <w:szCs w:val="18"/>
                <w:lang w:val="en-US"/>
              </w:rPr>
            </w:pPr>
            <w:r w:rsidRPr="00F266FD">
              <w:rPr>
                <w:rFonts w:eastAsia="Calibri"/>
                <w:sz w:val="18"/>
                <w:szCs w:val="18"/>
                <w:lang w:val="en-US" w:eastAsia="en-US"/>
              </w:rPr>
              <w:t>Dairy protein intake (g/d) was estimated from the intake of dairy products (milk, yogurt, buttermilk, chocolate milk, cheese, cream, and ice cream). Meat protein intake (g/d) was estimated from the intake of red meat, poultry, and fish. In cases when dairy and/or meat proteins were part of a whole dish, the amount of respective protein was estimated based on the recipes. Plant protein intake was estimated from the difference between total protein intake and dairy, meat, and egg protein intake</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647246">
            <w:pPr>
              <w:autoSpaceDE w:val="0"/>
              <w:autoSpaceDN w:val="0"/>
              <w:adjustRightInd w:val="0"/>
              <w:rPr>
                <w:bCs/>
                <w:color w:val="000000"/>
                <w:sz w:val="18"/>
                <w:szCs w:val="18"/>
                <w:lang w:val="en-US"/>
              </w:rPr>
            </w:pPr>
            <w:r w:rsidRPr="00F266FD">
              <w:rPr>
                <w:bCs/>
                <w:color w:val="000000"/>
                <w:sz w:val="18"/>
                <w:szCs w:val="18"/>
                <w:lang w:val="en-US"/>
              </w:rPr>
              <w:t>Danish food-composition database (DANKOST 2000 and 3000, Dansk Catering Center).</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r w:rsidRPr="00F266FD">
              <w:rPr>
                <w:bCs/>
                <w:color w:val="000000"/>
                <w:sz w:val="18"/>
                <w:szCs w:val="18"/>
                <w:lang w:val="en-US"/>
              </w:rPr>
              <w:t>Nothing done (but considered a little)</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DB3A4A" w:rsidTr="00F266FD">
        <w:tc>
          <w:tcPr>
            <w:tcW w:w="992" w:type="dxa"/>
            <w:tcBorders>
              <w:top w:val="single" w:sz="8" w:space="0" w:color="000000"/>
              <w:left w:val="single" w:sz="8" w:space="0" w:color="000000"/>
              <w:bottom w:val="single" w:sz="8" w:space="0" w:color="000000"/>
              <w:right w:val="single" w:sz="8" w:space="0" w:color="000000"/>
            </w:tcBorders>
          </w:tcPr>
          <w:p w:rsidR="00836A18" w:rsidRDefault="00F266FD" w:rsidP="00F83504">
            <w:pPr>
              <w:pStyle w:val="Default"/>
              <w:rPr>
                <w:snapToGrid w:val="0"/>
                <w:sz w:val="18"/>
                <w:szCs w:val="18"/>
                <w:lang w:val="en-GB"/>
              </w:rPr>
            </w:pPr>
            <w:proofErr w:type="spellStart"/>
            <w:r w:rsidRPr="00F266FD">
              <w:rPr>
                <w:snapToGrid w:val="0"/>
                <w:sz w:val="18"/>
                <w:szCs w:val="18"/>
                <w:lang w:val="en-GB"/>
              </w:rPr>
              <w:t>Budek</w:t>
            </w:r>
            <w:proofErr w:type="spellEnd"/>
            <w:r w:rsidRPr="00F266FD">
              <w:rPr>
                <w:snapToGrid w:val="0"/>
                <w:sz w:val="18"/>
                <w:szCs w:val="18"/>
                <w:lang w:val="en-GB"/>
              </w:rPr>
              <w:t>, 2007</w:t>
            </w:r>
          </w:p>
          <w:p w:rsidR="00F266FD" w:rsidRPr="00F266FD" w:rsidRDefault="00836A18" w:rsidP="00836A18">
            <w:pPr>
              <w:pStyle w:val="Default"/>
              <w:rPr>
                <w:snapToGrid w:val="0"/>
                <w:sz w:val="18"/>
                <w:szCs w:val="18"/>
                <w:lang w:val="en-GB"/>
              </w:rPr>
            </w:pPr>
            <w:r>
              <w:rPr>
                <w:snapToGrid w:val="0"/>
                <w:sz w:val="18"/>
                <w:szCs w:val="18"/>
                <w:lang w:val="en-GB"/>
              </w:rPr>
              <w:lastRenderedPageBreak/>
              <w:t>(46)</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GB"/>
              </w:rPr>
            </w:pPr>
            <w:r w:rsidRPr="00F266FD">
              <w:rPr>
                <w:bCs/>
                <w:color w:val="000000"/>
                <w:sz w:val="18"/>
                <w:szCs w:val="18"/>
                <w:lang w:val="en-GB"/>
              </w:rPr>
              <w:lastRenderedPageBreak/>
              <w:t xml:space="preserve">Protein intake </w:t>
            </w:r>
            <w:r w:rsidRPr="00F266FD">
              <w:rPr>
                <w:bCs/>
                <w:color w:val="000000"/>
                <w:sz w:val="18"/>
                <w:szCs w:val="18"/>
                <w:lang w:val="en-GB"/>
              </w:rPr>
              <w:lastRenderedPageBreak/>
              <w:t>(milk or meat)</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lang w:val="en-US"/>
              </w:rPr>
            </w:pPr>
            <w:r w:rsidRPr="00F266FD">
              <w:rPr>
                <w:bCs/>
                <w:color w:val="000000"/>
                <w:sz w:val="18"/>
                <w:szCs w:val="18"/>
                <w:lang w:val="en-US"/>
              </w:rPr>
              <w:lastRenderedPageBreak/>
              <w:t xml:space="preserve">3-day weighed record (2 week days and 1 weekend </w:t>
            </w:r>
            <w:r w:rsidRPr="00F266FD">
              <w:rPr>
                <w:bCs/>
                <w:color w:val="000000"/>
                <w:sz w:val="18"/>
                <w:szCs w:val="18"/>
                <w:lang w:val="en-US"/>
              </w:rPr>
              <w:lastRenderedPageBreak/>
              <w:t>day) before (days -3 to 0) and at the end of the study (days 5 to 7)</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1A40F6">
            <w:pPr>
              <w:autoSpaceDE w:val="0"/>
              <w:autoSpaceDN w:val="0"/>
              <w:adjustRightInd w:val="0"/>
              <w:rPr>
                <w:bCs/>
                <w:color w:val="000000"/>
                <w:sz w:val="18"/>
                <w:szCs w:val="18"/>
              </w:rPr>
            </w:pPr>
            <w:r w:rsidRPr="00F266FD">
              <w:rPr>
                <w:bCs/>
                <w:color w:val="000000"/>
                <w:sz w:val="18"/>
                <w:szCs w:val="18"/>
              </w:rPr>
              <w:lastRenderedPageBreak/>
              <w:t xml:space="preserve">DANKOST 2000, Dansk Catering </w:t>
            </w:r>
            <w:r w:rsidRPr="00F266FD">
              <w:rPr>
                <w:bCs/>
                <w:color w:val="000000"/>
                <w:sz w:val="18"/>
                <w:szCs w:val="18"/>
              </w:rPr>
              <w:lastRenderedPageBreak/>
              <w:t xml:space="preserve">Center, </w:t>
            </w:r>
            <w:proofErr w:type="spellStart"/>
            <w:r w:rsidRPr="00F266FD">
              <w:rPr>
                <w:bCs/>
                <w:color w:val="000000"/>
                <w:sz w:val="18"/>
                <w:szCs w:val="18"/>
              </w:rPr>
              <w:t>Herlev</w:t>
            </w:r>
            <w:proofErr w:type="spellEnd"/>
            <w:r w:rsidRPr="00F266FD">
              <w:rPr>
                <w:bCs/>
                <w:color w:val="000000"/>
                <w:sz w:val="18"/>
                <w:szCs w:val="18"/>
              </w:rPr>
              <w:t xml:space="preserve">, </w:t>
            </w:r>
            <w:proofErr w:type="spellStart"/>
            <w:r w:rsidRPr="00F266FD">
              <w:rPr>
                <w:bCs/>
                <w:color w:val="000000"/>
                <w:sz w:val="18"/>
                <w:szCs w:val="18"/>
              </w:rPr>
              <w:t>Denmark</w:t>
            </w:r>
            <w:proofErr w:type="spellEnd"/>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lastRenderedPageBreak/>
              <w:t>nd</w:t>
            </w:r>
            <w:proofErr w:type="spellEnd"/>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161E4C" w:rsidTr="00F266FD">
        <w:tc>
          <w:tcPr>
            <w:tcW w:w="992" w:type="dxa"/>
            <w:tcBorders>
              <w:top w:val="single" w:sz="8" w:space="0" w:color="000000"/>
              <w:left w:val="single" w:sz="8" w:space="0" w:color="000000"/>
              <w:bottom w:val="single" w:sz="8" w:space="0" w:color="000000"/>
              <w:right w:val="single" w:sz="8" w:space="0" w:color="000000"/>
            </w:tcBorders>
          </w:tcPr>
          <w:p w:rsidR="00F266FD" w:rsidRPr="00F266FD" w:rsidRDefault="00534085" w:rsidP="00D86646">
            <w:pPr>
              <w:pStyle w:val="Default"/>
              <w:rPr>
                <w:snapToGrid w:val="0"/>
                <w:sz w:val="18"/>
                <w:szCs w:val="18"/>
                <w:lang w:val="en-GB"/>
              </w:rPr>
            </w:pPr>
            <w:proofErr w:type="spellStart"/>
            <w:r>
              <w:rPr>
                <w:snapToGrid w:val="0"/>
                <w:sz w:val="18"/>
                <w:szCs w:val="18"/>
                <w:lang w:val="en-GB"/>
              </w:rPr>
              <w:lastRenderedPageBreak/>
              <w:t>Chevalley</w:t>
            </w:r>
            <w:proofErr w:type="spellEnd"/>
            <w:r>
              <w:rPr>
                <w:snapToGrid w:val="0"/>
                <w:sz w:val="18"/>
                <w:szCs w:val="18"/>
                <w:lang w:val="en-GB"/>
              </w:rPr>
              <w:t xml:space="preserve"> 2008</w:t>
            </w:r>
            <w:r w:rsidR="00F266FD" w:rsidRPr="00F266FD">
              <w:rPr>
                <w:snapToGrid w:val="0"/>
                <w:sz w:val="18"/>
                <w:szCs w:val="18"/>
                <w:lang w:val="en-GB"/>
              </w:rPr>
              <w:t xml:space="preserve">, </w:t>
            </w:r>
            <w:r w:rsidR="00961043">
              <w:rPr>
                <w:snapToGrid w:val="0"/>
                <w:sz w:val="18"/>
                <w:szCs w:val="18"/>
                <w:lang w:val="en-GB"/>
              </w:rPr>
              <w:t>(excluded)</w:t>
            </w:r>
          </w:p>
          <w:p w:rsidR="00F266FD" w:rsidRPr="00F266FD" w:rsidRDefault="00F266FD" w:rsidP="00D86646">
            <w:pPr>
              <w:pStyle w:val="Default"/>
              <w:rPr>
                <w:snapToGrid w:val="0"/>
                <w:sz w:val="18"/>
                <w:szCs w:val="18"/>
                <w:lang w:val="en-GB"/>
              </w:rPr>
            </w:pPr>
            <w:r w:rsidRPr="00F266FD">
              <w:rPr>
                <w:snapToGrid w:val="0"/>
                <w:sz w:val="18"/>
                <w:szCs w:val="18"/>
                <w:lang w:val="en-GB"/>
              </w:rPr>
              <w:t>Cross-sectional</w:t>
            </w:r>
          </w:p>
          <w:p w:rsidR="00F266FD" w:rsidRPr="00F266FD" w:rsidRDefault="00F266FD" w:rsidP="00D86646">
            <w:pPr>
              <w:pStyle w:val="Default"/>
              <w:rPr>
                <w:snapToGrid w:val="0"/>
                <w:sz w:val="18"/>
                <w:szCs w:val="18"/>
                <w:lang w:val="en-GB"/>
              </w:rPr>
            </w:pPr>
            <w:r w:rsidRPr="00F266FD">
              <w:rPr>
                <w:snapToGrid w:val="0"/>
                <w:sz w:val="18"/>
                <w:szCs w:val="18"/>
                <w:lang w:val="en-GB"/>
              </w:rPr>
              <w:t>Switzerland</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161E4C">
            <w:pPr>
              <w:autoSpaceDE w:val="0"/>
              <w:autoSpaceDN w:val="0"/>
              <w:adjustRightInd w:val="0"/>
              <w:spacing w:before="120"/>
              <w:rPr>
                <w:rFonts w:eastAsia="Calibri"/>
                <w:sz w:val="18"/>
                <w:szCs w:val="18"/>
                <w:lang w:val="en-US" w:eastAsia="en-US"/>
              </w:rPr>
            </w:pPr>
            <w:r w:rsidRPr="00F266FD">
              <w:rPr>
                <w:rFonts w:eastAsia="Calibri"/>
                <w:sz w:val="18"/>
                <w:szCs w:val="18"/>
                <w:lang w:val="en-US" w:eastAsia="en-US"/>
              </w:rPr>
              <w:t>Protein and calcium intakes, and physical activity</w:t>
            </w:r>
          </w:p>
          <w:p w:rsidR="00F266FD" w:rsidRPr="00F266FD" w:rsidRDefault="00F266FD" w:rsidP="00131EA5">
            <w:pPr>
              <w:pStyle w:val="Default"/>
              <w:rPr>
                <w:snapToGrid w:val="0"/>
                <w:sz w:val="18"/>
                <w:szCs w:val="18"/>
                <w:lang w:val="en-GB"/>
              </w:rPr>
            </w:pP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161E4C">
            <w:pPr>
              <w:autoSpaceDE w:val="0"/>
              <w:autoSpaceDN w:val="0"/>
              <w:adjustRightInd w:val="0"/>
              <w:rPr>
                <w:rFonts w:eastAsia="Calibri"/>
                <w:sz w:val="18"/>
                <w:szCs w:val="18"/>
                <w:lang w:val="en-US" w:eastAsia="en-US"/>
              </w:rPr>
            </w:pPr>
            <w:proofErr w:type="spellStart"/>
            <w:r w:rsidRPr="00F266FD">
              <w:rPr>
                <w:rFonts w:eastAsia="Calibri"/>
                <w:sz w:val="18"/>
                <w:szCs w:val="18"/>
                <w:lang w:val="en-US" w:eastAsia="en-US"/>
              </w:rPr>
              <w:t>Fequency</w:t>
            </w:r>
            <w:proofErr w:type="spellEnd"/>
            <w:r w:rsidRPr="00F266FD">
              <w:rPr>
                <w:rFonts w:eastAsia="Calibri"/>
                <w:sz w:val="18"/>
                <w:szCs w:val="18"/>
                <w:lang w:val="en-US" w:eastAsia="en-US"/>
              </w:rPr>
              <w:t xml:space="preserve"> questionnaire.</w:t>
            </w:r>
          </w:p>
          <w:p w:rsidR="00F266FD" w:rsidRPr="00F266FD" w:rsidRDefault="00F266FD" w:rsidP="00161E4C">
            <w:pPr>
              <w:autoSpaceDE w:val="0"/>
              <w:autoSpaceDN w:val="0"/>
              <w:adjustRightInd w:val="0"/>
              <w:rPr>
                <w:rFonts w:eastAsia="Calibri"/>
                <w:sz w:val="18"/>
                <w:szCs w:val="18"/>
                <w:lang w:val="en-US" w:eastAsia="en-US"/>
              </w:rPr>
            </w:pPr>
            <w:r w:rsidRPr="00F266FD">
              <w:rPr>
                <w:rFonts w:eastAsia="Calibri"/>
                <w:sz w:val="18"/>
                <w:szCs w:val="18"/>
                <w:lang w:val="en-US" w:eastAsia="en-US"/>
              </w:rPr>
              <w:t>(No details given except a reference to Morin et al 2005 which validated a simple, rapid, self-administered FFQ comprising 20 items for the estimation of dietary protein intake.</w:t>
            </w:r>
          </w:p>
          <w:p w:rsidR="00F266FD" w:rsidRPr="00F266FD" w:rsidRDefault="00F266FD" w:rsidP="00131EA5">
            <w:pPr>
              <w:pStyle w:val="Default"/>
              <w:rPr>
                <w:snapToGrid w:val="0"/>
                <w:sz w:val="18"/>
                <w:szCs w:val="18"/>
                <w:lang w:val="en-US"/>
              </w:rPr>
            </w:pPr>
            <w:r w:rsidRPr="00961043">
              <w:rPr>
                <w:rFonts w:eastAsia="Calibri"/>
                <w:color w:val="FF0000"/>
                <w:sz w:val="18"/>
                <w:szCs w:val="18"/>
                <w:lang w:val="en-US" w:eastAsia="en-US"/>
              </w:rPr>
              <w:t>NOTE – validation made in adults problematic?)</w:t>
            </w: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131EA5">
            <w:pPr>
              <w:autoSpaceDE w:val="0"/>
              <w:autoSpaceDN w:val="0"/>
              <w:adjustRightInd w:val="0"/>
              <w:rPr>
                <w:bCs/>
                <w:color w:val="000000"/>
                <w:sz w:val="18"/>
                <w:szCs w:val="18"/>
                <w:lang w:val="en-US"/>
              </w:rPr>
            </w:pPr>
            <w:proofErr w:type="spellStart"/>
            <w:r w:rsidRPr="00F266FD">
              <w:rPr>
                <w:bCs/>
                <w:color w:val="000000"/>
                <w:sz w:val="18"/>
                <w:szCs w:val="18"/>
                <w:lang w:val="en-US"/>
              </w:rPr>
              <w:t>nd</w:t>
            </w:r>
            <w:proofErr w:type="spellEnd"/>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r w:rsidR="00F266FD" w:rsidRPr="00DB3A4A" w:rsidTr="00F266FD">
        <w:tc>
          <w:tcPr>
            <w:tcW w:w="992" w:type="dxa"/>
            <w:tcBorders>
              <w:top w:val="single" w:sz="8" w:space="0" w:color="000000"/>
              <w:left w:val="single" w:sz="8" w:space="0" w:color="000000"/>
              <w:bottom w:val="single" w:sz="8" w:space="0" w:color="000000"/>
              <w:right w:val="single" w:sz="8" w:space="0" w:color="000000"/>
            </w:tcBorders>
          </w:tcPr>
          <w:p w:rsidR="00961043" w:rsidRDefault="00F266FD" w:rsidP="00F83504">
            <w:pPr>
              <w:pStyle w:val="Default"/>
              <w:rPr>
                <w:snapToGrid w:val="0"/>
                <w:sz w:val="18"/>
                <w:szCs w:val="18"/>
                <w:lang w:val="en-GB"/>
              </w:rPr>
            </w:pPr>
            <w:r w:rsidRPr="00F266FD">
              <w:rPr>
                <w:snapToGrid w:val="0"/>
                <w:sz w:val="18"/>
                <w:szCs w:val="18"/>
                <w:lang w:val="en-GB"/>
              </w:rPr>
              <w:t xml:space="preserve">Hoppe, 2000 </w:t>
            </w:r>
          </w:p>
          <w:p w:rsidR="00F266FD" w:rsidRPr="00F266FD" w:rsidRDefault="00961043" w:rsidP="00F83504">
            <w:pPr>
              <w:pStyle w:val="Default"/>
              <w:rPr>
                <w:snapToGrid w:val="0"/>
                <w:sz w:val="18"/>
                <w:szCs w:val="18"/>
                <w:lang w:val="en-GB"/>
              </w:rPr>
            </w:pPr>
            <w:r>
              <w:rPr>
                <w:snapToGrid w:val="0"/>
                <w:sz w:val="18"/>
                <w:szCs w:val="18"/>
                <w:lang w:val="en-GB"/>
              </w:rPr>
              <w:t>(50)</w:t>
            </w:r>
          </w:p>
        </w:tc>
        <w:tc>
          <w:tcPr>
            <w:tcW w:w="898" w:type="dxa"/>
            <w:tcBorders>
              <w:top w:val="single" w:sz="8" w:space="0" w:color="000000"/>
              <w:left w:val="single" w:sz="8" w:space="0" w:color="000000"/>
              <w:bottom w:val="single" w:sz="8" w:space="0" w:color="000000"/>
              <w:right w:val="single" w:sz="8" w:space="0" w:color="000000"/>
            </w:tcBorders>
          </w:tcPr>
          <w:p w:rsidR="00F266FD" w:rsidRPr="00F266FD" w:rsidRDefault="00F266FD" w:rsidP="00131EA5">
            <w:pPr>
              <w:pStyle w:val="Default"/>
              <w:rPr>
                <w:snapToGrid w:val="0"/>
                <w:sz w:val="18"/>
                <w:szCs w:val="18"/>
                <w:lang w:val="en-GB"/>
              </w:rPr>
            </w:pPr>
            <w:r w:rsidRPr="00F266FD">
              <w:rPr>
                <w:snapToGrid w:val="0"/>
                <w:sz w:val="18"/>
                <w:szCs w:val="18"/>
                <w:lang w:val="en-GB"/>
              </w:rPr>
              <w:t>Usual dietary intake at 10 y</w:t>
            </w:r>
          </w:p>
          <w:p w:rsidR="00F266FD" w:rsidRPr="00F266FD" w:rsidRDefault="00F266FD" w:rsidP="00131EA5">
            <w:pPr>
              <w:autoSpaceDE w:val="0"/>
              <w:autoSpaceDN w:val="0"/>
              <w:adjustRightInd w:val="0"/>
              <w:rPr>
                <w:bCs/>
                <w:color w:val="000000"/>
                <w:sz w:val="18"/>
                <w:szCs w:val="18"/>
                <w:lang w:val="en-US"/>
              </w:rPr>
            </w:pPr>
          </w:p>
          <w:p w:rsidR="00F266FD" w:rsidRPr="00F266FD" w:rsidRDefault="00F266FD" w:rsidP="00131EA5">
            <w:pPr>
              <w:autoSpaceDE w:val="0"/>
              <w:autoSpaceDN w:val="0"/>
              <w:adjustRightInd w:val="0"/>
              <w:rPr>
                <w:bCs/>
                <w:color w:val="000000"/>
                <w:sz w:val="18"/>
                <w:szCs w:val="18"/>
                <w:lang w:val="en-US"/>
              </w:rPr>
            </w:pPr>
            <w:r w:rsidRPr="00F266FD">
              <w:rPr>
                <w:bCs/>
                <w:color w:val="000000"/>
                <w:sz w:val="18"/>
                <w:szCs w:val="18"/>
                <w:lang w:val="en-US"/>
              </w:rPr>
              <w:t xml:space="preserve">Energy, protein, </w:t>
            </w:r>
            <w:proofErr w:type="spellStart"/>
            <w:r w:rsidRPr="00F266FD">
              <w:rPr>
                <w:bCs/>
                <w:color w:val="000000"/>
                <w:sz w:val="18"/>
                <w:szCs w:val="18"/>
                <w:lang w:val="en-US"/>
              </w:rPr>
              <w:t>Ca</w:t>
            </w:r>
            <w:proofErr w:type="spellEnd"/>
            <w:r w:rsidRPr="00F266FD">
              <w:rPr>
                <w:bCs/>
                <w:color w:val="000000"/>
                <w:sz w:val="18"/>
                <w:szCs w:val="18"/>
                <w:lang w:val="en-US"/>
              </w:rPr>
              <w:t>, Na, P, other vitamins and minerals, fat and carbohydrate</w:t>
            </w:r>
          </w:p>
        </w:tc>
        <w:tc>
          <w:tcPr>
            <w:tcW w:w="2187" w:type="dxa"/>
            <w:tcBorders>
              <w:top w:val="single" w:sz="8" w:space="0" w:color="000000"/>
              <w:left w:val="single" w:sz="8" w:space="0" w:color="000000"/>
              <w:bottom w:val="single" w:sz="8" w:space="0" w:color="000000"/>
              <w:right w:val="single" w:sz="8" w:space="0" w:color="000000"/>
            </w:tcBorders>
          </w:tcPr>
          <w:p w:rsidR="00F266FD" w:rsidRPr="00F266FD" w:rsidRDefault="00F266FD" w:rsidP="00131EA5">
            <w:pPr>
              <w:pStyle w:val="Default"/>
              <w:rPr>
                <w:snapToGrid w:val="0"/>
                <w:sz w:val="18"/>
                <w:szCs w:val="18"/>
                <w:lang w:val="en-GB"/>
              </w:rPr>
            </w:pPr>
            <w:r w:rsidRPr="00F266FD">
              <w:rPr>
                <w:snapToGrid w:val="0"/>
                <w:sz w:val="18"/>
                <w:szCs w:val="18"/>
                <w:lang w:val="en-GB"/>
              </w:rPr>
              <w:t xml:space="preserve">7 day food record with </w:t>
            </w:r>
            <w:proofErr w:type="spellStart"/>
            <w:r w:rsidRPr="00F266FD">
              <w:rPr>
                <w:snapToGrid w:val="0"/>
                <w:sz w:val="18"/>
                <w:szCs w:val="18"/>
                <w:lang w:val="en-GB"/>
              </w:rPr>
              <w:t>preprintet</w:t>
            </w:r>
            <w:proofErr w:type="spellEnd"/>
            <w:r w:rsidRPr="00F266FD">
              <w:rPr>
                <w:snapToGrid w:val="0"/>
                <w:sz w:val="18"/>
                <w:szCs w:val="18"/>
                <w:lang w:val="en-GB"/>
              </w:rPr>
              <w:t xml:space="preserve"> response categories supplemented with open-ended alternatives, and the quantity of foods estimated from household measures.</w:t>
            </w:r>
          </w:p>
          <w:p w:rsidR="00F266FD" w:rsidRPr="00F266FD" w:rsidRDefault="00F266FD" w:rsidP="00131EA5">
            <w:pPr>
              <w:autoSpaceDE w:val="0"/>
              <w:autoSpaceDN w:val="0"/>
              <w:adjustRightInd w:val="0"/>
              <w:rPr>
                <w:bCs/>
                <w:color w:val="000000"/>
                <w:sz w:val="18"/>
                <w:szCs w:val="18"/>
                <w:lang w:val="en-GB"/>
              </w:rPr>
            </w:pPr>
          </w:p>
        </w:tc>
        <w:tc>
          <w:tcPr>
            <w:tcW w:w="1843" w:type="dxa"/>
            <w:tcBorders>
              <w:top w:val="single" w:sz="8" w:space="0" w:color="000000"/>
              <w:left w:val="single" w:sz="8" w:space="0" w:color="000000"/>
              <w:bottom w:val="single" w:sz="8" w:space="0" w:color="000000"/>
              <w:right w:val="single" w:sz="8" w:space="0" w:color="000000"/>
            </w:tcBorders>
          </w:tcPr>
          <w:p w:rsidR="00F266FD" w:rsidRPr="00F266FD" w:rsidRDefault="00F266FD" w:rsidP="00131EA5">
            <w:pPr>
              <w:autoSpaceDE w:val="0"/>
              <w:autoSpaceDN w:val="0"/>
              <w:adjustRightInd w:val="0"/>
              <w:rPr>
                <w:bCs/>
                <w:color w:val="000000"/>
                <w:sz w:val="18"/>
                <w:szCs w:val="18"/>
                <w:lang w:val="en-US"/>
              </w:rPr>
            </w:pPr>
            <w:r w:rsidRPr="00F266FD">
              <w:rPr>
                <w:bCs/>
                <w:color w:val="000000"/>
                <w:sz w:val="18"/>
                <w:szCs w:val="18"/>
                <w:lang w:val="en-US"/>
              </w:rPr>
              <w:t>National food database</w:t>
            </w:r>
          </w:p>
          <w:p w:rsidR="00F266FD" w:rsidRPr="00F266FD" w:rsidRDefault="00F266FD" w:rsidP="00131EA5">
            <w:pPr>
              <w:autoSpaceDE w:val="0"/>
              <w:autoSpaceDN w:val="0"/>
              <w:adjustRightInd w:val="0"/>
              <w:rPr>
                <w:bCs/>
                <w:color w:val="000000"/>
                <w:sz w:val="18"/>
                <w:szCs w:val="18"/>
                <w:lang w:val="en-US"/>
              </w:rPr>
            </w:pPr>
          </w:p>
          <w:p w:rsidR="00F266FD" w:rsidRPr="00F266FD" w:rsidRDefault="00F266FD" w:rsidP="00131EA5">
            <w:pPr>
              <w:autoSpaceDE w:val="0"/>
              <w:autoSpaceDN w:val="0"/>
              <w:adjustRightInd w:val="0"/>
              <w:rPr>
                <w:bCs/>
                <w:color w:val="000000"/>
                <w:sz w:val="18"/>
                <w:szCs w:val="18"/>
                <w:lang w:val="en-US"/>
              </w:rPr>
            </w:pP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rsidP="00131EA5">
            <w:pPr>
              <w:autoSpaceDE w:val="0"/>
              <w:autoSpaceDN w:val="0"/>
              <w:adjustRightInd w:val="0"/>
              <w:rPr>
                <w:bCs/>
                <w:color w:val="000000"/>
                <w:sz w:val="18"/>
                <w:szCs w:val="18"/>
                <w:lang w:val="en-US"/>
              </w:rPr>
            </w:pPr>
            <w:r w:rsidRPr="00F266FD">
              <w:rPr>
                <w:bCs/>
                <w:color w:val="000000"/>
                <w:sz w:val="18"/>
                <w:szCs w:val="18"/>
                <w:lang w:val="en-US"/>
              </w:rPr>
              <w:t>Y</w:t>
            </w:r>
          </w:p>
          <w:p w:rsidR="00F266FD" w:rsidRPr="00F266FD" w:rsidRDefault="00F266FD" w:rsidP="00131EA5">
            <w:pPr>
              <w:autoSpaceDE w:val="0"/>
              <w:autoSpaceDN w:val="0"/>
              <w:adjustRightInd w:val="0"/>
              <w:rPr>
                <w:bCs/>
                <w:color w:val="000000"/>
                <w:sz w:val="18"/>
                <w:szCs w:val="18"/>
                <w:lang w:val="en-US"/>
              </w:rPr>
            </w:pPr>
            <w:r w:rsidRPr="00F266FD">
              <w:rPr>
                <w:bCs/>
                <w:color w:val="000000"/>
                <w:sz w:val="18"/>
                <w:szCs w:val="18"/>
                <w:lang w:val="en-US"/>
              </w:rPr>
              <w:t>In order to evaluate food records, PAL calculated as EI/BMR. No implausible low energy intakes (range 1.20-2.62 when compared with cutoff limits.</w:t>
            </w:r>
          </w:p>
        </w:tc>
        <w:tc>
          <w:tcPr>
            <w:tcW w:w="1701"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276"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134"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c>
          <w:tcPr>
            <w:tcW w:w="1008" w:type="dxa"/>
            <w:tcBorders>
              <w:top w:val="single" w:sz="8" w:space="0" w:color="000000"/>
              <w:left w:val="single" w:sz="8" w:space="0" w:color="000000"/>
              <w:bottom w:val="single" w:sz="8" w:space="0" w:color="000000"/>
              <w:right w:val="single" w:sz="8" w:space="0" w:color="000000"/>
            </w:tcBorders>
          </w:tcPr>
          <w:p w:rsidR="00F266FD" w:rsidRPr="00F266FD" w:rsidRDefault="00F266FD">
            <w:pPr>
              <w:rPr>
                <w:sz w:val="18"/>
                <w:szCs w:val="18"/>
              </w:rPr>
            </w:pPr>
            <w:proofErr w:type="spellStart"/>
            <w:r w:rsidRPr="00F266FD">
              <w:rPr>
                <w:bCs/>
                <w:color w:val="000000"/>
                <w:sz w:val="18"/>
                <w:szCs w:val="18"/>
                <w:lang w:val="en-US"/>
              </w:rPr>
              <w:t>nd</w:t>
            </w:r>
            <w:proofErr w:type="spellEnd"/>
          </w:p>
        </w:tc>
      </w:tr>
    </w:tbl>
    <w:p w:rsidR="00780BB6" w:rsidRPr="00DB3A4A" w:rsidRDefault="00780BB6" w:rsidP="00197533">
      <w:pPr>
        <w:pStyle w:val="Default"/>
        <w:rPr>
          <w:b/>
          <w:snapToGrid w:val="0"/>
          <w:lang w:val="en-US"/>
        </w:rPr>
      </w:pPr>
    </w:p>
    <w:p w:rsidR="00780BB6" w:rsidRPr="00DB3A4A" w:rsidRDefault="00780BB6" w:rsidP="00197533">
      <w:pPr>
        <w:autoSpaceDE w:val="0"/>
        <w:autoSpaceDN w:val="0"/>
        <w:adjustRightInd w:val="0"/>
        <w:ind w:left="-709"/>
        <w:rPr>
          <w:rFonts w:ascii="Calibri" w:hAnsi="Calibri" w:cs="Arial"/>
          <w:sz w:val="20"/>
          <w:szCs w:val="20"/>
          <w:lang w:val="en-US"/>
        </w:rPr>
      </w:pPr>
    </w:p>
    <w:p w:rsidR="00780BB6" w:rsidRPr="00DB3A4A" w:rsidRDefault="00780BB6" w:rsidP="00197533">
      <w:pPr>
        <w:autoSpaceDE w:val="0"/>
        <w:autoSpaceDN w:val="0"/>
        <w:adjustRightInd w:val="0"/>
        <w:ind w:left="-709"/>
        <w:rPr>
          <w:rFonts w:ascii="Calibri" w:hAnsi="Calibri" w:cs="Arial"/>
          <w:sz w:val="20"/>
          <w:szCs w:val="20"/>
          <w:lang w:val="en-US"/>
        </w:rPr>
      </w:pPr>
    </w:p>
    <w:p w:rsidR="00780BB6" w:rsidRPr="00DB3A4A" w:rsidRDefault="00780BB6" w:rsidP="00197533">
      <w:pPr>
        <w:autoSpaceDE w:val="0"/>
        <w:autoSpaceDN w:val="0"/>
        <w:adjustRightInd w:val="0"/>
        <w:ind w:left="-709"/>
        <w:rPr>
          <w:rFonts w:ascii="Calibri" w:hAnsi="Calibri" w:cs="Arial"/>
          <w:sz w:val="20"/>
          <w:szCs w:val="20"/>
          <w:lang w:val="en-US"/>
        </w:rPr>
      </w:pPr>
      <w:r w:rsidRPr="00DB3A4A">
        <w:rPr>
          <w:rFonts w:ascii="Calibri" w:hAnsi="Calibri" w:cs="Arial"/>
          <w:sz w:val="20"/>
          <w:szCs w:val="20"/>
          <w:lang w:val="en-US"/>
        </w:rPr>
        <w:t>* Write “</w:t>
      </w:r>
      <w:proofErr w:type="spellStart"/>
      <w:r w:rsidRPr="00DB3A4A">
        <w:rPr>
          <w:rFonts w:ascii="Calibri" w:hAnsi="Calibri" w:cs="Arial"/>
          <w:sz w:val="20"/>
          <w:szCs w:val="20"/>
          <w:lang w:val="en-US"/>
        </w:rPr>
        <w:t>nd</w:t>
      </w:r>
      <w:proofErr w:type="spellEnd"/>
      <w:r w:rsidRPr="00DB3A4A">
        <w:rPr>
          <w:rFonts w:ascii="Calibri" w:hAnsi="Calibri" w:cs="Arial"/>
          <w:sz w:val="20"/>
          <w:szCs w:val="20"/>
          <w:lang w:val="en-US"/>
        </w:rPr>
        <w:t xml:space="preserve">” if there was no data reported. Please do not leave blank </w:t>
      </w:r>
    </w:p>
    <w:p w:rsidR="00780BB6" w:rsidRPr="00DB3A4A" w:rsidRDefault="00780BB6" w:rsidP="00197533">
      <w:pPr>
        <w:autoSpaceDE w:val="0"/>
        <w:autoSpaceDN w:val="0"/>
        <w:adjustRightInd w:val="0"/>
        <w:ind w:left="-709"/>
        <w:rPr>
          <w:rFonts w:ascii="Calibri" w:hAnsi="Calibri" w:cs="Arial"/>
          <w:sz w:val="20"/>
          <w:szCs w:val="20"/>
          <w:lang w:val="en-US"/>
        </w:rPr>
      </w:pPr>
      <w:r w:rsidRPr="00DB3A4A">
        <w:rPr>
          <w:rFonts w:ascii="Calibri" w:hAnsi="Calibri" w:cs="Arial"/>
          <w:sz w:val="20"/>
          <w:szCs w:val="20"/>
          <w:lang w:val="en-US"/>
        </w:rPr>
        <w:t>**Please refer to brief name indicated in dietary assessment method table. If other method was used, please describe the detail.</w:t>
      </w:r>
    </w:p>
    <w:p w:rsidR="00780BB6" w:rsidRPr="00DB3A4A" w:rsidRDefault="00780BB6" w:rsidP="00197533">
      <w:pPr>
        <w:autoSpaceDE w:val="0"/>
        <w:autoSpaceDN w:val="0"/>
        <w:adjustRightInd w:val="0"/>
        <w:ind w:left="-709"/>
        <w:rPr>
          <w:rFonts w:ascii="Calibri" w:hAnsi="Calibri" w:cs="Arial"/>
          <w:sz w:val="20"/>
          <w:szCs w:val="20"/>
          <w:lang w:val="en-US"/>
        </w:rPr>
      </w:pPr>
      <w:r w:rsidRPr="00DB3A4A">
        <w:rPr>
          <w:rFonts w:ascii="Calibri" w:hAnsi="Calibri" w:cs="Arial"/>
          <w:sz w:val="20"/>
          <w:szCs w:val="20"/>
          <w:lang w:val="en-US"/>
        </w:rPr>
        <w:t>*** Specify database used to calculate nutrient intakes. Other nutrient analysis, please specify.</w:t>
      </w:r>
    </w:p>
    <w:p w:rsidR="00780BB6" w:rsidRPr="00DB3A4A" w:rsidRDefault="00780BB6" w:rsidP="00197533">
      <w:pPr>
        <w:pStyle w:val="Default"/>
        <w:ind w:left="-709"/>
        <w:rPr>
          <w:rFonts w:ascii="Calibri" w:hAnsi="Calibri"/>
          <w:snapToGrid w:val="0"/>
          <w:sz w:val="20"/>
          <w:szCs w:val="20"/>
          <w:lang w:val="en-GB"/>
        </w:rPr>
      </w:pPr>
      <w:r w:rsidRPr="00DB3A4A">
        <w:rPr>
          <w:rFonts w:ascii="Calibri" w:hAnsi="Calibri"/>
          <w:snapToGrid w:val="0"/>
          <w:sz w:val="20"/>
          <w:szCs w:val="20"/>
          <w:lang w:val="en-US"/>
        </w:rPr>
        <w:t>****</w:t>
      </w:r>
      <w:proofErr w:type="spellStart"/>
      <w:r w:rsidRPr="00DB3A4A">
        <w:rPr>
          <w:rFonts w:ascii="Calibri" w:hAnsi="Calibri"/>
          <w:snapToGrid w:val="0"/>
          <w:sz w:val="20"/>
          <w:szCs w:val="20"/>
          <w:lang w:val="en-GB"/>
        </w:rPr>
        <w:t>Eg</w:t>
      </w:r>
      <w:proofErr w:type="spellEnd"/>
      <w:r w:rsidRPr="00DB3A4A">
        <w:rPr>
          <w:rFonts w:ascii="Calibri" w:hAnsi="Calibri"/>
          <w:snapToGrid w:val="0"/>
          <w:sz w:val="20"/>
          <w:szCs w:val="20"/>
          <w:lang w:val="en-GB"/>
        </w:rPr>
        <w:t>. are carbohydrates expressed as available carbohydrates or carbohydrates by difference, is fibre included in the carbohydrates or not, retinol equivalent or retinol activity etc. Chemical form of the nutrient.</w:t>
      </w:r>
    </w:p>
    <w:p w:rsidR="00780BB6" w:rsidRPr="00DB3A4A" w:rsidRDefault="00780BB6" w:rsidP="00EA14CD">
      <w:pPr>
        <w:pStyle w:val="Default"/>
        <w:ind w:left="-709"/>
        <w:rPr>
          <w:rFonts w:ascii="Calibri" w:hAnsi="Calibri" w:cs="Arial"/>
          <w:color w:val="auto"/>
          <w:sz w:val="20"/>
          <w:szCs w:val="20"/>
          <w:lang w:val="en-US"/>
        </w:rPr>
      </w:pPr>
      <w:r w:rsidRPr="00DB3A4A">
        <w:rPr>
          <w:rFonts w:ascii="Calibri" w:hAnsi="Calibri" w:cs="Arial"/>
          <w:color w:val="auto"/>
          <w:sz w:val="20"/>
          <w:szCs w:val="20"/>
          <w:lang w:val="en-US"/>
        </w:rPr>
        <w:t>*****ONLY biomarker of interest for outcome</w:t>
      </w:r>
    </w:p>
    <w:sectPr w:rsidR="00780BB6" w:rsidRPr="00DB3A4A" w:rsidSect="00583E1D">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F09" w:rsidRDefault="00740F09" w:rsidP="006B3075">
      <w:r>
        <w:separator/>
      </w:r>
    </w:p>
  </w:endnote>
  <w:endnote w:type="continuationSeparator" w:id="0">
    <w:p w:rsidR="00740F09" w:rsidRDefault="00740F09" w:rsidP="006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2D" w:rsidRPr="007E231C" w:rsidRDefault="00AF0B2D">
    <w:pPr>
      <w:pStyle w:val="Sidfot"/>
      <w:jc w:val="right"/>
      <w:rPr>
        <w:rFonts w:ascii="Calibri" w:hAnsi="Calibri"/>
        <w:sz w:val="22"/>
        <w:szCs w:val="22"/>
      </w:rPr>
    </w:pPr>
    <w:r w:rsidRPr="007E231C">
      <w:rPr>
        <w:rFonts w:ascii="Calibri" w:hAnsi="Calibri"/>
        <w:sz w:val="22"/>
        <w:szCs w:val="22"/>
      </w:rPr>
      <w:fldChar w:fldCharType="begin"/>
    </w:r>
    <w:r w:rsidRPr="007E231C">
      <w:rPr>
        <w:rFonts w:ascii="Calibri" w:hAnsi="Calibri"/>
        <w:sz w:val="22"/>
        <w:szCs w:val="22"/>
      </w:rPr>
      <w:instrText xml:space="preserve"> PAGE   \* MERGEFORMAT </w:instrText>
    </w:r>
    <w:r w:rsidRPr="007E231C">
      <w:rPr>
        <w:rFonts w:ascii="Calibri" w:hAnsi="Calibri"/>
        <w:sz w:val="22"/>
        <w:szCs w:val="22"/>
      </w:rPr>
      <w:fldChar w:fldCharType="separate"/>
    </w:r>
    <w:r w:rsidR="00BE4911">
      <w:rPr>
        <w:rFonts w:ascii="Calibri" w:hAnsi="Calibri"/>
        <w:noProof/>
        <w:sz w:val="22"/>
        <w:szCs w:val="22"/>
      </w:rPr>
      <w:t>13</w:t>
    </w:r>
    <w:r w:rsidRPr="007E231C">
      <w:rPr>
        <w:rFonts w:ascii="Calibri" w:hAnsi="Calibri"/>
        <w:sz w:val="22"/>
        <w:szCs w:val="22"/>
      </w:rPr>
      <w:fldChar w:fldCharType="end"/>
    </w:r>
  </w:p>
  <w:p w:rsidR="00AF0B2D" w:rsidRDefault="00AF0B2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F09" w:rsidRDefault="00740F09" w:rsidP="006B3075">
      <w:r>
        <w:separator/>
      </w:r>
    </w:p>
  </w:footnote>
  <w:footnote w:type="continuationSeparator" w:id="0">
    <w:p w:rsidR="00740F09" w:rsidRDefault="00740F09" w:rsidP="006B3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1D"/>
    <w:rsid w:val="00000BBB"/>
    <w:rsid w:val="000108A3"/>
    <w:rsid w:val="00012829"/>
    <w:rsid w:val="00025B93"/>
    <w:rsid w:val="00027677"/>
    <w:rsid w:val="0003159E"/>
    <w:rsid w:val="00031BD5"/>
    <w:rsid w:val="00035B01"/>
    <w:rsid w:val="00045988"/>
    <w:rsid w:val="00050BD8"/>
    <w:rsid w:val="000524CE"/>
    <w:rsid w:val="000535AA"/>
    <w:rsid w:val="000600CB"/>
    <w:rsid w:val="00062505"/>
    <w:rsid w:val="0006256B"/>
    <w:rsid w:val="00067775"/>
    <w:rsid w:val="00074831"/>
    <w:rsid w:val="0007512D"/>
    <w:rsid w:val="00090587"/>
    <w:rsid w:val="000A57D8"/>
    <w:rsid w:val="000A58BD"/>
    <w:rsid w:val="000A70D2"/>
    <w:rsid w:val="000B51CC"/>
    <w:rsid w:val="000D2983"/>
    <w:rsid w:val="000D3368"/>
    <w:rsid w:val="000D6E65"/>
    <w:rsid w:val="000E2D5E"/>
    <w:rsid w:val="000E404D"/>
    <w:rsid w:val="000F2E43"/>
    <w:rsid w:val="001064DE"/>
    <w:rsid w:val="00107B22"/>
    <w:rsid w:val="001142C1"/>
    <w:rsid w:val="001170A8"/>
    <w:rsid w:val="00131EA5"/>
    <w:rsid w:val="001369B1"/>
    <w:rsid w:val="00136CC7"/>
    <w:rsid w:val="0014118A"/>
    <w:rsid w:val="001522CB"/>
    <w:rsid w:val="00153999"/>
    <w:rsid w:val="00161E4C"/>
    <w:rsid w:val="001623D3"/>
    <w:rsid w:val="00163B71"/>
    <w:rsid w:val="001829C8"/>
    <w:rsid w:val="001911D4"/>
    <w:rsid w:val="00197533"/>
    <w:rsid w:val="001A40F6"/>
    <w:rsid w:val="001A440D"/>
    <w:rsid w:val="001A6D1D"/>
    <w:rsid w:val="001B336B"/>
    <w:rsid w:val="001B5C5A"/>
    <w:rsid w:val="001D1ACD"/>
    <w:rsid w:val="001D2B22"/>
    <w:rsid w:val="001D693D"/>
    <w:rsid w:val="001E3EA4"/>
    <w:rsid w:val="001F41BB"/>
    <w:rsid w:val="001F515C"/>
    <w:rsid w:val="001F7A4C"/>
    <w:rsid w:val="002017D2"/>
    <w:rsid w:val="00206379"/>
    <w:rsid w:val="00213E37"/>
    <w:rsid w:val="00222A62"/>
    <w:rsid w:val="00227071"/>
    <w:rsid w:val="0023373C"/>
    <w:rsid w:val="00235AE9"/>
    <w:rsid w:val="00243B53"/>
    <w:rsid w:val="00261D86"/>
    <w:rsid w:val="00262C82"/>
    <w:rsid w:val="00272403"/>
    <w:rsid w:val="002878EF"/>
    <w:rsid w:val="00293F48"/>
    <w:rsid w:val="00295987"/>
    <w:rsid w:val="002A1C2D"/>
    <w:rsid w:val="002B3292"/>
    <w:rsid w:val="002B41DB"/>
    <w:rsid w:val="002D708C"/>
    <w:rsid w:val="002D7421"/>
    <w:rsid w:val="002E6BE8"/>
    <w:rsid w:val="00302297"/>
    <w:rsid w:val="00306D7A"/>
    <w:rsid w:val="00311713"/>
    <w:rsid w:val="003230FE"/>
    <w:rsid w:val="00336D3E"/>
    <w:rsid w:val="0035132E"/>
    <w:rsid w:val="00361A39"/>
    <w:rsid w:val="00362AA1"/>
    <w:rsid w:val="00363693"/>
    <w:rsid w:val="00363BD0"/>
    <w:rsid w:val="0037617F"/>
    <w:rsid w:val="00376DB7"/>
    <w:rsid w:val="00382562"/>
    <w:rsid w:val="003924AB"/>
    <w:rsid w:val="00396DB7"/>
    <w:rsid w:val="003A1A6B"/>
    <w:rsid w:val="003A2C8E"/>
    <w:rsid w:val="003B285C"/>
    <w:rsid w:val="003B665C"/>
    <w:rsid w:val="003E0BE4"/>
    <w:rsid w:val="003F5957"/>
    <w:rsid w:val="0040116A"/>
    <w:rsid w:val="0040195A"/>
    <w:rsid w:val="00410A43"/>
    <w:rsid w:val="00424CA8"/>
    <w:rsid w:val="00425DFA"/>
    <w:rsid w:val="00425F1E"/>
    <w:rsid w:val="0043050F"/>
    <w:rsid w:val="00430EE5"/>
    <w:rsid w:val="0043620E"/>
    <w:rsid w:val="00436D42"/>
    <w:rsid w:val="00444F85"/>
    <w:rsid w:val="0044501B"/>
    <w:rsid w:val="00446E81"/>
    <w:rsid w:val="0045256C"/>
    <w:rsid w:val="0046062E"/>
    <w:rsid w:val="004736F8"/>
    <w:rsid w:val="00477F89"/>
    <w:rsid w:val="004818F5"/>
    <w:rsid w:val="00490BB5"/>
    <w:rsid w:val="00493EA1"/>
    <w:rsid w:val="00494F59"/>
    <w:rsid w:val="00495F70"/>
    <w:rsid w:val="004A6EA6"/>
    <w:rsid w:val="004A7B51"/>
    <w:rsid w:val="004C5424"/>
    <w:rsid w:val="004D0EBD"/>
    <w:rsid w:val="004D36B7"/>
    <w:rsid w:val="004E2C91"/>
    <w:rsid w:val="004E3B51"/>
    <w:rsid w:val="004E3B86"/>
    <w:rsid w:val="004F7936"/>
    <w:rsid w:val="0052463C"/>
    <w:rsid w:val="0053091E"/>
    <w:rsid w:val="00531D03"/>
    <w:rsid w:val="00534085"/>
    <w:rsid w:val="005405D9"/>
    <w:rsid w:val="00555289"/>
    <w:rsid w:val="00555D9A"/>
    <w:rsid w:val="005600A9"/>
    <w:rsid w:val="00560D32"/>
    <w:rsid w:val="00565B31"/>
    <w:rsid w:val="005832A2"/>
    <w:rsid w:val="00583E1D"/>
    <w:rsid w:val="00594ADC"/>
    <w:rsid w:val="005A0895"/>
    <w:rsid w:val="005A0D74"/>
    <w:rsid w:val="005A429D"/>
    <w:rsid w:val="005A7E06"/>
    <w:rsid w:val="005B037A"/>
    <w:rsid w:val="005B3858"/>
    <w:rsid w:val="005C517B"/>
    <w:rsid w:val="005D0A56"/>
    <w:rsid w:val="005D5B21"/>
    <w:rsid w:val="005E005C"/>
    <w:rsid w:val="005E571B"/>
    <w:rsid w:val="005F59D4"/>
    <w:rsid w:val="00600614"/>
    <w:rsid w:val="00604FED"/>
    <w:rsid w:val="006260E0"/>
    <w:rsid w:val="00627691"/>
    <w:rsid w:val="006301B4"/>
    <w:rsid w:val="0064231D"/>
    <w:rsid w:val="00647246"/>
    <w:rsid w:val="00650177"/>
    <w:rsid w:val="00652787"/>
    <w:rsid w:val="006631C6"/>
    <w:rsid w:val="0066412A"/>
    <w:rsid w:val="006669E8"/>
    <w:rsid w:val="00667026"/>
    <w:rsid w:val="00671095"/>
    <w:rsid w:val="00675230"/>
    <w:rsid w:val="006822F6"/>
    <w:rsid w:val="006A00E7"/>
    <w:rsid w:val="006B1AF1"/>
    <w:rsid w:val="006B3075"/>
    <w:rsid w:val="006C180F"/>
    <w:rsid w:val="006D0846"/>
    <w:rsid w:val="006D1EC7"/>
    <w:rsid w:val="006E2703"/>
    <w:rsid w:val="00715EB1"/>
    <w:rsid w:val="007204F2"/>
    <w:rsid w:val="00720B41"/>
    <w:rsid w:val="0072316F"/>
    <w:rsid w:val="007269CC"/>
    <w:rsid w:val="00733B28"/>
    <w:rsid w:val="00737A3F"/>
    <w:rsid w:val="00740C52"/>
    <w:rsid w:val="00740F09"/>
    <w:rsid w:val="00741072"/>
    <w:rsid w:val="00757225"/>
    <w:rsid w:val="00773749"/>
    <w:rsid w:val="00776239"/>
    <w:rsid w:val="00777DC7"/>
    <w:rsid w:val="00780BB6"/>
    <w:rsid w:val="0078140E"/>
    <w:rsid w:val="00794A1E"/>
    <w:rsid w:val="00794FEB"/>
    <w:rsid w:val="007972AF"/>
    <w:rsid w:val="007A0D6E"/>
    <w:rsid w:val="007A2218"/>
    <w:rsid w:val="007B23A1"/>
    <w:rsid w:val="007B3848"/>
    <w:rsid w:val="007C0849"/>
    <w:rsid w:val="007C2223"/>
    <w:rsid w:val="007C2732"/>
    <w:rsid w:val="007C2A2E"/>
    <w:rsid w:val="007C2BC5"/>
    <w:rsid w:val="007C51D6"/>
    <w:rsid w:val="007D0963"/>
    <w:rsid w:val="007D764A"/>
    <w:rsid w:val="007D7F7A"/>
    <w:rsid w:val="007E1A01"/>
    <w:rsid w:val="007E231C"/>
    <w:rsid w:val="007F17E2"/>
    <w:rsid w:val="007F1AF6"/>
    <w:rsid w:val="007F1B52"/>
    <w:rsid w:val="007F6F8E"/>
    <w:rsid w:val="008049D7"/>
    <w:rsid w:val="0080748E"/>
    <w:rsid w:val="00811675"/>
    <w:rsid w:val="00836A18"/>
    <w:rsid w:val="008402BD"/>
    <w:rsid w:val="00840FD6"/>
    <w:rsid w:val="008429F8"/>
    <w:rsid w:val="008518FD"/>
    <w:rsid w:val="0086154E"/>
    <w:rsid w:val="008621E2"/>
    <w:rsid w:val="00862BDA"/>
    <w:rsid w:val="00872CB2"/>
    <w:rsid w:val="0088423E"/>
    <w:rsid w:val="008877DD"/>
    <w:rsid w:val="0089286F"/>
    <w:rsid w:val="00894D7A"/>
    <w:rsid w:val="008A51ED"/>
    <w:rsid w:val="008B47F9"/>
    <w:rsid w:val="008C78F7"/>
    <w:rsid w:val="008C7D77"/>
    <w:rsid w:val="008D2C55"/>
    <w:rsid w:val="008E1E02"/>
    <w:rsid w:val="008E7ED5"/>
    <w:rsid w:val="00900CEA"/>
    <w:rsid w:val="009103E8"/>
    <w:rsid w:val="00917461"/>
    <w:rsid w:val="009341A4"/>
    <w:rsid w:val="00936890"/>
    <w:rsid w:val="009400C2"/>
    <w:rsid w:val="00947B8E"/>
    <w:rsid w:val="00961043"/>
    <w:rsid w:val="00963138"/>
    <w:rsid w:val="00974A81"/>
    <w:rsid w:val="009761DE"/>
    <w:rsid w:val="0097700B"/>
    <w:rsid w:val="009A5422"/>
    <w:rsid w:val="009C14F7"/>
    <w:rsid w:val="009D1792"/>
    <w:rsid w:val="009D1E34"/>
    <w:rsid w:val="009E2B27"/>
    <w:rsid w:val="009E54BD"/>
    <w:rsid w:val="009F3E03"/>
    <w:rsid w:val="00A05001"/>
    <w:rsid w:val="00A17E3A"/>
    <w:rsid w:val="00A24640"/>
    <w:rsid w:val="00A3704D"/>
    <w:rsid w:val="00A46E37"/>
    <w:rsid w:val="00A52AA9"/>
    <w:rsid w:val="00A6324A"/>
    <w:rsid w:val="00A643A5"/>
    <w:rsid w:val="00A64D0D"/>
    <w:rsid w:val="00A716CD"/>
    <w:rsid w:val="00A8112E"/>
    <w:rsid w:val="00A84AFB"/>
    <w:rsid w:val="00A86E4E"/>
    <w:rsid w:val="00A910CA"/>
    <w:rsid w:val="00A9300D"/>
    <w:rsid w:val="00A93CB2"/>
    <w:rsid w:val="00AA18A5"/>
    <w:rsid w:val="00AA2006"/>
    <w:rsid w:val="00AA358B"/>
    <w:rsid w:val="00AD312B"/>
    <w:rsid w:val="00AD3321"/>
    <w:rsid w:val="00AD6F6B"/>
    <w:rsid w:val="00AE2748"/>
    <w:rsid w:val="00AE5649"/>
    <w:rsid w:val="00AF0A96"/>
    <w:rsid w:val="00AF0B2D"/>
    <w:rsid w:val="00AF1FB3"/>
    <w:rsid w:val="00AF33F6"/>
    <w:rsid w:val="00AF5644"/>
    <w:rsid w:val="00AF6CB5"/>
    <w:rsid w:val="00AF7E89"/>
    <w:rsid w:val="00B0332D"/>
    <w:rsid w:val="00B033C3"/>
    <w:rsid w:val="00B034AC"/>
    <w:rsid w:val="00B12BE6"/>
    <w:rsid w:val="00B17989"/>
    <w:rsid w:val="00B26A90"/>
    <w:rsid w:val="00B27FB4"/>
    <w:rsid w:val="00B3613E"/>
    <w:rsid w:val="00B36E42"/>
    <w:rsid w:val="00B37D1D"/>
    <w:rsid w:val="00B424E9"/>
    <w:rsid w:val="00B5299F"/>
    <w:rsid w:val="00B55346"/>
    <w:rsid w:val="00B62C6A"/>
    <w:rsid w:val="00B64E9E"/>
    <w:rsid w:val="00B66076"/>
    <w:rsid w:val="00B702BA"/>
    <w:rsid w:val="00B707C6"/>
    <w:rsid w:val="00B72FAF"/>
    <w:rsid w:val="00B979EB"/>
    <w:rsid w:val="00BA5201"/>
    <w:rsid w:val="00BB1C7F"/>
    <w:rsid w:val="00BB1F71"/>
    <w:rsid w:val="00BC44BF"/>
    <w:rsid w:val="00BD21F3"/>
    <w:rsid w:val="00BE4911"/>
    <w:rsid w:val="00BF7BBE"/>
    <w:rsid w:val="00C04E8C"/>
    <w:rsid w:val="00C04F20"/>
    <w:rsid w:val="00C10D94"/>
    <w:rsid w:val="00C12D41"/>
    <w:rsid w:val="00C17134"/>
    <w:rsid w:val="00C2002B"/>
    <w:rsid w:val="00C23583"/>
    <w:rsid w:val="00C30A9B"/>
    <w:rsid w:val="00C33787"/>
    <w:rsid w:val="00C40261"/>
    <w:rsid w:val="00C4675D"/>
    <w:rsid w:val="00C46951"/>
    <w:rsid w:val="00C516FB"/>
    <w:rsid w:val="00C55696"/>
    <w:rsid w:val="00C60876"/>
    <w:rsid w:val="00C63B7C"/>
    <w:rsid w:val="00C70055"/>
    <w:rsid w:val="00C720D8"/>
    <w:rsid w:val="00C7484B"/>
    <w:rsid w:val="00C77F50"/>
    <w:rsid w:val="00C84CAD"/>
    <w:rsid w:val="00C85AF0"/>
    <w:rsid w:val="00C93DB7"/>
    <w:rsid w:val="00C95784"/>
    <w:rsid w:val="00CA2948"/>
    <w:rsid w:val="00CA78A3"/>
    <w:rsid w:val="00CB23D8"/>
    <w:rsid w:val="00CD0ADD"/>
    <w:rsid w:val="00CD0F10"/>
    <w:rsid w:val="00CD619D"/>
    <w:rsid w:val="00CE0259"/>
    <w:rsid w:val="00CE55A9"/>
    <w:rsid w:val="00CF2236"/>
    <w:rsid w:val="00D03F25"/>
    <w:rsid w:val="00D05D12"/>
    <w:rsid w:val="00D074A5"/>
    <w:rsid w:val="00D21A8E"/>
    <w:rsid w:val="00D30436"/>
    <w:rsid w:val="00D304DF"/>
    <w:rsid w:val="00D442FD"/>
    <w:rsid w:val="00D50C5A"/>
    <w:rsid w:val="00D56206"/>
    <w:rsid w:val="00D56A7E"/>
    <w:rsid w:val="00D60E57"/>
    <w:rsid w:val="00D71496"/>
    <w:rsid w:val="00D7315D"/>
    <w:rsid w:val="00D7368D"/>
    <w:rsid w:val="00D74047"/>
    <w:rsid w:val="00D74311"/>
    <w:rsid w:val="00D74CA8"/>
    <w:rsid w:val="00D86646"/>
    <w:rsid w:val="00D92628"/>
    <w:rsid w:val="00D92E7B"/>
    <w:rsid w:val="00D97D3E"/>
    <w:rsid w:val="00DA5191"/>
    <w:rsid w:val="00DB3A4A"/>
    <w:rsid w:val="00DB5B85"/>
    <w:rsid w:val="00DB6E9E"/>
    <w:rsid w:val="00DB7DC4"/>
    <w:rsid w:val="00DD0928"/>
    <w:rsid w:val="00DD2CF3"/>
    <w:rsid w:val="00DD36C8"/>
    <w:rsid w:val="00DD5C8F"/>
    <w:rsid w:val="00DD7922"/>
    <w:rsid w:val="00DE2D9E"/>
    <w:rsid w:val="00DF2D18"/>
    <w:rsid w:val="00DF4A56"/>
    <w:rsid w:val="00DF5245"/>
    <w:rsid w:val="00DF5D6B"/>
    <w:rsid w:val="00E031F5"/>
    <w:rsid w:val="00E12DCF"/>
    <w:rsid w:val="00E21A59"/>
    <w:rsid w:val="00E24A50"/>
    <w:rsid w:val="00E50CDE"/>
    <w:rsid w:val="00E62C59"/>
    <w:rsid w:val="00E642C1"/>
    <w:rsid w:val="00E65A36"/>
    <w:rsid w:val="00E81138"/>
    <w:rsid w:val="00E84B2A"/>
    <w:rsid w:val="00E91DAD"/>
    <w:rsid w:val="00E97AD2"/>
    <w:rsid w:val="00EA14CD"/>
    <w:rsid w:val="00EA3F1C"/>
    <w:rsid w:val="00EB1574"/>
    <w:rsid w:val="00EB7651"/>
    <w:rsid w:val="00ED09A9"/>
    <w:rsid w:val="00EE3E05"/>
    <w:rsid w:val="00F06DA9"/>
    <w:rsid w:val="00F151B7"/>
    <w:rsid w:val="00F242B2"/>
    <w:rsid w:val="00F266FD"/>
    <w:rsid w:val="00F26D74"/>
    <w:rsid w:val="00F635C8"/>
    <w:rsid w:val="00F67AC7"/>
    <w:rsid w:val="00F83504"/>
    <w:rsid w:val="00F83FC7"/>
    <w:rsid w:val="00F83FE7"/>
    <w:rsid w:val="00FA2961"/>
    <w:rsid w:val="00FB64C0"/>
    <w:rsid w:val="00FC3471"/>
    <w:rsid w:val="00FC6846"/>
    <w:rsid w:val="00FE5009"/>
    <w:rsid w:val="00FE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rPr>
      <w:rFonts w:ascii="Times New Roman" w:eastAsia="Times New Roman" w:hAnsi="Times New Roman"/>
      <w:sz w:val="24"/>
      <w:szCs w:val="24"/>
      <w:lang w:val="sv-SE"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locked/>
    <w:rsid w:val="007F6F8E"/>
    <w:rPr>
      <w:rFonts w:ascii="Arial" w:hAnsi="Arial" w:cs="Arial"/>
      <w:b/>
      <w:bCs/>
      <w:sz w:val="26"/>
      <w:szCs w:val="26"/>
      <w:lang w:eastAsia="sv-SE"/>
    </w:rPr>
  </w:style>
  <w:style w:type="paragraph" w:customStyle="1" w:styleId="Default">
    <w:name w:val="Default"/>
    <w:uiPriority w:val="99"/>
    <w:rsid w:val="00583E1D"/>
    <w:pPr>
      <w:autoSpaceDE w:val="0"/>
      <w:autoSpaceDN w:val="0"/>
      <w:adjustRightInd w:val="0"/>
    </w:pPr>
    <w:rPr>
      <w:rFonts w:ascii="Times New Roman" w:eastAsia="Times New Roman" w:hAnsi="Times New Roman"/>
      <w:color w:val="000000"/>
      <w:sz w:val="24"/>
      <w:szCs w:val="24"/>
      <w:lang w:val="sv-SE" w:eastAsia="sv-SE"/>
    </w:rPr>
  </w:style>
  <w:style w:type="paragraph" w:styleId="Sidhuvud">
    <w:name w:val="header"/>
    <w:basedOn w:val="Normal"/>
    <w:link w:val="SidhuvudChar"/>
    <w:uiPriority w:val="99"/>
    <w:rsid w:val="006B3075"/>
    <w:pPr>
      <w:tabs>
        <w:tab w:val="center" w:pos="4536"/>
        <w:tab w:val="right" w:pos="9072"/>
      </w:tabs>
    </w:pPr>
  </w:style>
  <w:style w:type="character" w:customStyle="1" w:styleId="SidhuvudChar">
    <w:name w:val="Sidhuvud Char"/>
    <w:basedOn w:val="Standardstycketeckensnitt"/>
    <w:link w:val="Sidhuvud"/>
    <w:uiPriority w:val="99"/>
    <w:locked/>
    <w:rsid w:val="006B3075"/>
    <w:rPr>
      <w:rFonts w:ascii="Times New Roman" w:hAnsi="Times New Roman" w:cs="Times New Roman"/>
      <w:sz w:val="24"/>
      <w:szCs w:val="24"/>
      <w:lang w:eastAsia="sv-SE"/>
    </w:rPr>
  </w:style>
  <w:style w:type="paragraph" w:styleId="Sidfot">
    <w:name w:val="footer"/>
    <w:basedOn w:val="Normal"/>
    <w:link w:val="SidfotChar"/>
    <w:uiPriority w:val="99"/>
    <w:rsid w:val="006B3075"/>
    <w:pPr>
      <w:tabs>
        <w:tab w:val="center" w:pos="4536"/>
        <w:tab w:val="right" w:pos="9072"/>
      </w:tabs>
    </w:pPr>
  </w:style>
  <w:style w:type="character" w:customStyle="1" w:styleId="SidfotChar">
    <w:name w:val="Sidfot Char"/>
    <w:basedOn w:val="Standardstycketeckensnitt"/>
    <w:link w:val="Sidfot"/>
    <w:uiPriority w:val="99"/>
    <w:locked/>
    <w:rsid w:val="006B3075"/>
    <w:rPr>
      <w:rFonts w:ascii="Times New Roman" w:hAnsi="Times New Roman" w:cs="Times New Roman"/>
      <w:sz w:val="24"/>
      <w:szCs w:val="24"/>
      <w:lang w:eastAsia="sv-SE"/>
    </w:rPr>
  </w:style>
  <w:style w:type="paragraph" w:styleId="Ingetavstnd">
    <w:name w:val="No Spacing"/>
    <w:uiPriority w:val="99"/>
    <w:qFormat/>
    <w:rsid w:val="00272403"/>
    <w:rPr>
      <w:rFonts w:ascii="Times New Roman" w:eastAsia="Times New Roman" w:hAnsi="Times New Roman"/>
      <w:sz w:val="24"/>
      <w:szCs w:val="24"/>
      <w:lang w:val="sv-SE" w:eastAsia="sv-SE"/>
    </w:rPr>
  </w:style>
  <w:style w:type="paragraph" w:styleId="Ballongtext">
    <w:name w:val="Balloon Text"/>
    <w:basedOn w:val="Normal"/>
    <w:link w:val="BallongtextChar"/>
    <w:uiPriority w:val="99"/>
    <w:semiHidden/>
    <w:rsid w:val="00AF7E89"/>
    <w:rPr>
      <w:rFonts w:ascii="Tahoma" w:hAnsi="Tahoma" w:cs="Tahoma"/>
      <w:sz w:val="16"/>
      <w:szCs w:val="16"/>
    </w:rPr>
  </w:style>
  <w:style w:type="character" w:customStyle="1" w:styleId="BallongtextChar">
    <w:name w:val="Ballongtext Char"/>
    <w:basedOn w:val="Standardstycketeckensnitt"/>
    <w:link w:val="Ballongtext"/>
    <w:uiPriority w:val="99"/>
    <w:semiHidden/>
    <w:rsid w:val="00487F0B"/>
    <w:rPr>
      <w:rFonts w:ascii="Times New Roman" w:eastAsia="Times New Roman" w:hAnsi="Times New Roman"/>
      <w:sz w:val="0"/>
      <w:szCs w:val="0"/>
      <w:lang w:val="sv-SE" w:eastAsia="sv-SE"/>
    </w:rPr>
  </w:style>
  <w:style w:type="character" w:styleId="Kommentarsreferens">
    <w:name w:val="annotation reference"/>
    <w:basedOn w:val="Standardstycketeckensnitt"/>
    <w:uiPriority w:val="99"/>
    <w:semiHidden/>
    <w:unhideWhenUsed/>
    <w:rsid w:val="001064DE"/>
    <w:rPr>
      <w:sz w:val="16"/>
      <w:szCs w:val="16"/>
    </w:rPr>
  </w:style>
  <w:style w:type="paragraph" w:styleId="Kommentarer">
    <w:name w:val="annotation text"/>
    <w:basedOn w:val="Normal"/>
    <w:link w:val="KommentarerChar"/>
    <w:uiPriority w:val="99"/>
    <w:semiHidden/>
    <w:unhideWhenUsed/>
    <w:rsid w:val="001064DE"/>
    <w:rPr>
      <w:sz w:val="20"/>
      <w:szCs w:val="20"/>
    </w:rPr>
  </w:style>
  <w:style w:type="character" w:customStyle="1" w:styleId="KommentarerChar">
    <w:name w:val="Kommentarer Char"/>
    <w:basedOn w:val="Standardstycketeckensnitt"/>
    <w:link w:val="Kommentarer"/>
    <w:uiPriority w:val="99"/>
    <w:semiHidden/>
    <w:rsid w:val="001064DE"/>
    <w:rPr>
      <w:rFonts w:ascii="Times New Roman" w:eastAsia="Times New Roman" w:hAnsi="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1064DE"/>
    <w:rPr>
      <w:b/>
      <w:bCs/>
    </w:rPr>
  </w:style>
  <w:style w:type="character" w:customStyle="1" w:styleId="KommentarsmneChar">
    <w:name w:val="Kommentarsämne Char"/>
    <w:basedOn w:val="KommentarerChar"/>
    <w:link w:val="Kommentarsmne"/>
    <w:uiPriority w:val="99"/>
    <w:semiHidden/>
    <w:rsid w:val="001064DE"/>
    <w:rPr>
      <w:rFonts w:ascii="Times New Roman" w:eastAsia="Times New Roman" w:hAnsi="Times New Roman"/>
      <w:b/>
      <w:bCs/>
      <w:sz w:val="20"/>
      <w:szCs w:val="20"/>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E1D"/>
    <w:rPr>
      <w:rFonts w:ascii="Times New Roman" w:eastAsia="Times New Roman" w:hAnsi="Times New Roman"/>
      <w:sz w:val="24"/>
      <w:szCs w:val="24"/>
      <w:lang w:val="sv-SE" w:eastAsia="sv-SE"/>
    </w:rPr>
  </w:style>
  <w:style w:type="paragraph" w:styleId="Rubrik3">
    <w:name w:val="heading 3"/>
    <w:basedOn w:val="Normal"/>
    <w:next w:val="Normal"/>
    <w:link w:val="Rubrik3Char"/>
    <w:uiPriority w:val="99"/>
    <w:qFormat/>
    <w:rsid w:val="007F6F8E"/>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9"/>
    <w:locked/>
    <w:rsid w:val="007F6F8E"/>
    <w:rPr>
      <w:rFonts w:ascii="Arial" w:hAnsi="Arial" w:cs="Arial"/>
      <w:b/>
      <w:bCs/>
      <w:sz w:val="26"/>
      <w:szCs w:val="26"/>
      <w:lang w:eastAsia="sv-SE"/>
    </w:rPr>
  </w:style>
  <w:style w:type="paragraph" w:customStyle="1" w:styleId="Default">
    <w:name w:val="Default"/>
    <w:uiPriority w:val="99"/>
    <w:rsid w:val="00583E1D"/>
    <w:pPr>
      <w:autoSpaceDE w:val="0"/>
      <w:autoSpaceDN w:val="0"/>
      <w:adjustRightInd w:val="0"/>
    </w:pPr>
    <w:rPr>
      <w:rFonts w:ascii="Times New Roman" w:eastAsia="Times New Roman" w:hAnsi="Times New Roman"/>
      <w:color w:val="000000"/>
      <w:sz w:val="24"/>
      <w:szCs w:val="24"/>
      <w:lang w:val="sv-SE" w:eastAsia="sv-SE"/>
    </w:rPr>
  </w:style>
  <w:style w:type="paragraph" w:styleId="Sidhuvud">
    <w:name w:val="header"/>
    <w:basedOn w:val="Normal"/>
    <w:link w:val="SidhuvudChar"/>
    <w:uiPriority w:val="99"/>
    <w:rsid w:val="006B3075"/>
    <w:pPr>
      <w:tabs>
        <w:tab w:val="center" w:pos="4536"/>
        <w:tab w:val="right" w:pos="9072"/>
      </w:tabs>
    </w:pPr>
  </w:style>
  <w:style w:type="character" w:customStyle="1" w:styleId="SidhuvudChar">
    <w:name w:val="Sidhuvud Char"/>
    <w:basedOn w:val="Standardstycketeckensnitt"/>
    <w:link w:val="Sidhuvud"/>
    <w:uiPriority w:val="99"/>
    <w:locked/>
    <w:rsid w:val="006B3075"/>
    <w:rPr>
      <w:rFonts w:ascii="Times New Roman" w:hAnsi="Times New Roman" w:cs="Times New Roman"/>
      <w:sz w:val="24"/>
      <w:szCs w:val="24"/>
      <w:lang w:eastAsia="sv-SE"/>
    </w:rPr>
  </w:style>
  <w:style w:type="paragraph" w:styleId="Sidfot">
    <w:name w:val="footer"/>
    <w:basedOn w:val="Normal"/>
    <w:link w:val="SidfotChar"/>
    <w:uiPriority w:val="99"/>
    <w:rsid w:val="006B3075"/>
    <w:pPr>
      <w:tabs>
        <w:tab w:val="center" w:pos="4536"/>
        <w:tab w:val="right" w:pos="9072"/>
      </w:tabs>
    </w:pPr>
  </w:style>
  <w:style w:type="character" w:customStyle="1" w:styleId="SidfotChar">
    <w:name w:val="Sidfot Char"/>
    <w:basedOn w:val="Standardstycketeckensnitt"/>
    <w:link w:val="Sidfot"/>
    <w:uiPriority w:val="99"/>
    <w:locked/>
    <w:rsid w:val="006B3075"/>
    <w:rPr>
      <w:rFonts w:ascii="Times New Roman" w:hAnsi="Times New Roman" w:cs="Times New Roman"/>
      <w:sz w:val="24"/>
      <w:szCs w:val="24"/>
      <w:lang w:eastAsia="sv-SE"/>
    </w:rPr>
  </w:style>
  <w:style w:type="paragraph" w:styleId="Ingetavstnd">
    <w:name w:val="No Spacing"/>
    <w:uiPriority w:val="99"/>
    <w:qFormat/>
    <w:rsid w:val="00272403"/>
    <w:rPr>
      <w:rFonts w:ascii="Times New Roman" w:eastAsia="Times New Roman" w:hAnsi="Times New Roman"/>
      <w:sz w:val="24"/>
      <w:szCs w:val="24"/>
      <w:lang w:val="sv-SE" w:eastAsia="sv-SE"/>
    </w:rPr>
  </w:style>
  <w:style w:type="paragraph" w:styleId="Ballongtext">
    <w:name w:val="Balloon Text"/>
    <w:basedOn w:val="Normal"/>
    <w:link w:val="BallongtextChar"/>
    <w:uiPriority w:val="99"/>
    <w:semiHidden/>
    <w:rsid w:val="00AF7E89"/>
    <w:rPr>
      <w:rFonts w:ascii="Tahoma" w:hAnsi="Tahoma" w:cs="Tahoma"/>
      <w:sz w:val="16"/>
      <w:szCs w:val="16"/>
    </w:rPr>
  </w:style>
  <w:style w:type="character" w:customStyle="1" w:styleId="BallongtextChar">
    <w:name w:val="Ballongtext Char"/>
    <w:basedOn w:val="Standardstycketeckensnitt"/>
    <w:link w:val="Ballongtext"/>
    <w:uiPriority w:val="99"/>
    <w:semiHidden/>
    <w:rsid w:val="00487F0B"/>
    <w:rPr>
      <w:rFonts w:ascii="Times New Roman" w:eastAsia="Times New Roman" w:hAnsi="Times New Roman"/>
      <w:sz w:val="0"/>
      <w:szCs w:val="0"/>
      <w:lang w:val="sv-SE" w:eastAsia="sv-SE"/>
    </w:rPr>
  </w:style>
  <w:style w:type="character" w:styleId="Kommentarsreferens">
    <w:name w:val="annotation reference"/>
    <w:basedOn w:val="Standardstycketeckensnitt"/>
    <w:uiPriority w:val="99"/>
    <w:semiHidden/>
    <w:unhideWhenUsed/>
    <w:rsid w:val="001064DE"/>
    <w:rPr>
      <w:sz w:val="16"/>
      <w:szCs w:val="16"/>
    </w:rPr>
  </w:style>
  <w:style w:type="paragraph" w:styleId="Kommentarer">
    <w:name w:val="annotation text"/>
    <w:basedOn w:val="Normal"/>
    <w:link w:val="KommentarerChar"/>
    <w:uiPriority w:val="99"/>
    <w:semiHidden/>
    <w:unhideWhenUsed/>
    <w:rsid w:val="001064DE"/>
    <w:rPr>
      <w:sz w:val="20"/>
      <w:szCs w:val="20"/>
    </w:rPr>
  </w:style>
  <w:style w:type="character" w:customStyle="1" w:styleId="KommentarerChar">
    <w:name w:val="Kommentarer Char"/>
    <w:basedOn w:val="Standardstycketeckensnitt"/>
    <w:link w:val="Kommentarer"/>
    <w:uiPriority w:val="99"/>
    <w:semiHidden/>
    <w:rsid w:val="001064DE"/>
    <w:rPr>
      <w:rFonts w:ascii="Times New Roman" w:eastAsia="Times New Roman" w:hAnsi="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1064DE"/>
    <w:rPr>
      <w:b/>
      <w:bCs/>
    </w:rPr>
  </w:style>
  <w:style w:type="character" w:customStyle="1" w:styleId="KommentarsmneChar">
    <w:name w:val="Kommentarsämne Char"/>
    <w:basedOn w:val="KommentarerChar"/>
    <w:link w:val="Kommentarsmne"/>
    <w:uiPriority w:val="99"/>
    <w:semiHidden/>
    <w:rsid w:val="001064DE"/>
    <w:rPr>
      <w:rFonts w:ascii="Times New Roman" w:eastAsia="Times New Roman" w:hAnsi="Times New Roman"/>
      <w:b/>
      <w:bCs/>
      <w:sz w:val="20"/>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4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839</TotalTime>
  <Pages>13</Pages>
  <Words>3703</Words>
  <Characters>20431</Characters>
  <Application>Microsoft Office Word</Application>
  <DocSecurity>0</DocSecurity>
  <Lines>170</Lines>
  <Paragraphs>48</Paragraphs>
  <ScaleCrop>false</ScaleCrop>
  <HeadingPairs>
    <vt:vector size="2" baseType="variant">
      <vt:variant>
        <vt:lpstr>Rubrik</vt:lpstr>
      </vt:variant>
      <vt:variant>
        <vt:i4>1</vt:i4>
      </vt:variant>
    </vt:vector>
  </HeadingPairs>
  <TitlesOfParts>
    <vt:vector size="1" baseType="lpstr">
      <vt:lpstr>Evidence tables</vt:lpstr>
    </vt:vector>
  </TitlesOfParts>
  <Company>Livsmedelsverket</Company>
  <LinksUpToDate>false</LinksUpToDate>
  <CharactersWithSpaces>24086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tables</dc:title>
  <dc:creator>.</dc:creator>
  <cp:lastModifiedBy>Agneta Hörnell</cp:lastModifiedBy>
  <cp:revision>28</cp:revision>
  <cp:lastPrinted>2010-12-01T14:15:00Z</cp:lastPrinted>
  <dcterms:created xsi:type="dcterms:W3CDTF">2012-05-17T05:32:00Z</dcterms:created>
  <dcterms:modified xsi:type="dcterms:W3CDTF">2013-05-02T11:32:00Z</dcterms:modified>
</cp:coreProperties>
</file>