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A6" w:rsidRDefault="00322343" w:rsidP="00322343">
      <w:pPr>
        <w:pStyle w:val="Default"/>
        <w:ind w:left="-993" w:firstLine="284"/>
        <w:rPr>
          <w:snapToGrid w:val="0"/>
          <w:szCs w:val="18"/>
          <w:lang w:val="en-GB"/>
        </w:rPr>
      </w:pPr>
      <w:proofErr w:type="gramStart"/>
      <w:r w:rsidRPr="00322343">
        <w:rPr>
          <w:b/>
          <w:snapToGrid w:val="0"/>
          <w:szCs w:val="18"/>
          <w:lang w:val="en-GB"/>
        </w:rPr>
        <w:t>Appendix 8.</w:t>
      </w:r>
      <w:proofErr w:type="gramEnd"/>
      <w:r w:rsidRPr="00322343">
        <w:rPr>
          <w:b/>
          <w:snapToGrid w:val="0"/>
          <w:szCs w:val="18"/>
          <w:lang w:val="en-GB"/>
        </w:rPr>
        <w:t xml:space="preserve"> </w:t>
      </w:r>
      <w:r w:rsidR="004E3B86" w:rsidRPr="00322343">
        <w:rPr>
          <w:snapToGrid w:val="0"/>
          <w:szCs w:val="18"/>
          <w:lang w:val="en-GB"/>
        </w:rPr>
        <w:t>E</w:t>
      </w:r>
      <w:r w:rsidR="004A6EA6" w:rsidRPr="00322343">
        <w:rPr>
          <w:snapToGrid w:val="0"/>
          <w:szCs w:val="18"/>
          <w:lang w:val="en-GB"/>
        </w:rPr>
        <w:t>v</w:t>
      </w:r>
      <w:r>
        <w:rPr>
          <w:snapToGrid w:val="0"/>
          <w:szCs w:val="18"/>
          <w:lang w:val="en-GB"/>
        </w:rPr>
        <w:t>i</w:t>
      </w:r>
      <w:r w:rsidR="004A6EA6" w:rsidRPr="00322343">
        <w:rPr>
          <w:snapToGrid w:val="0"/>
          <w:szCs w:val="18"/>
          <w:lang w:val="en-GB"/>
        </w:rPr>
        <w:t xml:space="preserve">dence table </w:t>
      </w:r>
      <w:r w:rsidR="00B55346" w:rsidRPr="00322343">
        <w:rPr>
          <w:snapToGrid w:val="0"/>
          <w:szCs w:val="18"/>
          <w:lang w:val="en-GB"/>
        </w:rPr>
        <w:t xml:space="preserve">for </w:t>
      </w:r>
      <w:r w:rsidR="009F2DCF">
        <w:rPr>
          <w:snapToGrid w:val="0"/>
          <w:szCs w:val="18"/>
          <w:lang w:val="en-GB"/>
        </w:rPr>
        <w:t xml:space="preserve">protein intake and </w:t>
      </w:r>
      <w:r w:rsidR="00B55346" w:rsidRPr="00322343">
        <w:rPr>
          <w:snapToGrid w:val="0"/>
          <w:szCs w:val="18"/>
          <w:lang w:val="en-GB"/>
        </w:rPr>
        <w:t xml:space="preserve">outcome </w:t>
      </w:r>
      <w:r w:rsidRPr="00322343">
        <w:rPr>
          <w:snapToGrid w:val="0"/>
          <w:szCs w:val="18"/>
          <w:lang w:val="en-GB"/>
        </w:rPr>
        <w:t>n</w:t>
      </w:r>
      <w:r w:rsidR="00503547" w:rsidRPr="00322343">
        <w:rPr>
          <w:snapToGrid w:val="0"/>
          <w:szCs w:val="18"/>
          <w:lang w:val="en-GB"/>
        </w:rPr>
        <w:t>eurodevelopment</w:t>
      </w:r>
      <w:r w:rsidR="002A08FB" w:rsidRPr="00322343">
        <w:rPr>
          <w:i/>
          <w:snapToGrid w:val="0"/>
          <w:szCs w:val="18"/>
          <w:lang w:val="en-GB"/>
        </w:rPr>
        <w:t xml:space="preserve"> </w:t>
      </w:r>
      <w:r w:rsidR="002A08FB" w:rsidRPr="00322343">
        <w:rPr>
          <w:snapToGrid w:val="0"/>
          <w:szCs w:val="18"/>
          <w:lang w:val="en-GB"/>
        </w:rPr>
        <w:t>(</w:t>
      </w:r>
      <w:r w:rsidR="00463835" w:rsidRPr="00322343">
        <w:rPr>
          <w:snapToGrid w:val="0"/>
          <w:szCs w:val="18"/>
          <w:lang w:val="en-GB"/>
        </w:rPr>
        <w:t xml:space="preserve">2 </w:t>
      </w:r>
      <w:proofErr w:type="gramStart"/>
      <w:r w:rsidR="002A08FB" w:rsidRPr="00322343">
        <w:rPr>
          <w:snapToGrid w:val="0"/>
          <w:szCs w:val="18"/>
          <w:lang w:val="en-GB"/>
        </w:rPr>
        <w:t>cohort</w:t>
      </w:r>
      <w:proofErr w:type="gramEnd"/>
      <w:r w:rsidR="002A08FB" w:rsidRPr="00322343">
        <w:rPr>
          <w:snapToGrid w:val="0"/>
          <w:szCs w:val="18"/>
          <w:lang w:val="en-GB"/>
        </w:rPr>
        <w:t>)</w:t>
      </w:r>
    </w:p>
    <w:p w:rsidR="00322343" w:rsidRDefault="00322343" w:rsidP="00322343">
      <w:pPr>
        <w:pStyle w:val="Default"/>
        <w:ind w:left="-993" w:firstLine="284"/>
        <w:rPr>
          <w:snapToGrid w:val="0"/>
          <w:szCs w:val="18"/>
          <w:lang w:val="en-GB"/>
        </w:rPr>
      </w:pPr>
    </w:p>
    <w:tbl>
      <w:tblPr>
        <w:tblpPr w:leftFromText="141" w:rightFromText="141" w:vertAnchor="page" w:horzAnchor="margin" w:tblpXSpec="center" w:tblpY="1767"/>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992"/>
        <w:gridCol w:w="1276"/>
        <w:gridCol w:w="992"/>
        <w:gridCol w:w="1134"/>
        <w:gridCol w:w="993"/>
        <w:gridCol w:w="1701"/>
        <w:gridCol w:w="1417"/>
        <w:gridCol w:w="1985"/>
        <w:gridCol w:w="1275"/>
        <w:gridCol w:w="1172"/>
      </w:tblGrid>
      <w:tr w:rsidR="00322343" w:rsidRPr="003904D4" w:rsidTr="00322343">
        <w:trPr>
          <w:trHeight w:val="3680"/>
        </w:trPr>
        <w:tc>
          <w:tcPr>
            <w:tcW w:w="817" w:type="dxa"/>
          </w:tcPr>
          <w:p w:rsidR="003904D4" w:rsidRDefault="003904D4" w:rsidP="003904D4">
            <w:pPr>
              <w:pStyle w:val="Default"/>
              <w:rPr>
                <w:b/>
                <w:sz w:val="20"/>
                <w:lang w:val="en-US"/>
              </w:rPr>
            </w:pPr>
            <w:r>
              <w:rPr>
                <w:b/>
                <w:sz w:val="20"/>
                <w:lang w:val="en-US"/>
              </w:rPr>
              <w:t>Author</w:t>
            </w:r>
            <w:r>
              <w:rPr>
                <w:b/>
                <w:sz w:val="20"/>
                <w:lang w:val="en-US"/>
              </w:rPr>
              <w:br/>
              <w:t>(</w:t>
            </w:r>
            <w:r>
              <w:rPr>
                <w:b/>
                <w:sz w:val="18"/>
                <w:lang w:val="en-US"/>
              </w:rPr>
              <w:t>alphabetical order</w:t>
            </w:r>
            <w:r>
              <w:rPr>
                <w:b/>
                <w:sz w:val="20"/>
                <w:lang w:val="en-US"/>
              </w:rPr>
              <w:t>), year (ref.nr)</w:t>
            </w:r>
          </w:p>
          <w:p w:rsidR="003904D4" w:rsidRDefault="003904D4" w:rsidP="003904D4">
            <w:pPr>
              <w:pStyle w:val="Default"/>
              <w:rPr>
                <w:b/>
                <w:snapToGrid w:val="0"/>
                <w:sz w:val="20"/>
                <w:szCs w:val="20"/>
                <w:lang w:val="en-GB"/>
              </w:rPr>
            </w:pPr>
            <w:r>
              <w:rPr>
                <w:b/>
                <w:snapToGrid w:val="0"/>
                <w:sz w:val="20"/>
                <w:szCs w:val="20"/>
                <w:lang w:val="en-GB"/>
              </w:rPr>
              <w:t>Country</w:t>
            </w:r>
          </w:p>
          <w:p w:rsidR="003904D4" w:rsidRDefault="003904D4" w:rsidP="003904D4">
            <w:pPr>
              <w:pStyle w:val="Default"/>
              <w:rPr>
                <w:b/>
                <w:snapToGrid w:val="0"/>
                <w:sz w:val="20"/>
                <w:szCs w:val="20"/>
                <w:lang w:val="en-GB"/>
              </w:rPr>
            </w:pPr>
            <w:r>
              <w:rPr>
                <w:b/>
                <w:snapToGrid w:val="0"/>
                <w:sz w:val="20"/>
                <w:szCs w:val="20"/>
                <w:lang w:val="en-GB"/>
              </w:rPr>
              <w:t xml:space="preserve">Study design </w:t>
            </w:r>
          </w:p>
          <w:p w:rsidR="00322343" w:rsidRPr="00322343" w:rsidRDefault="003904D4" w:rsidP="003904D4">
            <w:pPr>
              <w:pStyle w:val="Default"/>
              <w:rPr>
                <w:b/>
                <w:snapToGrid w:val="0"/>
                <w:sz w:val="18"/>
                <w:szCs w:val="18"/>
                <w:lang w:val="en-GB"/>
              </w:rPr>
            </w:pPr>
            <w:r>
              <w:rPr>
                <w:snapToGrid w:val="0"/>
                <w:sz w:val="20"/>
                <w:szCs w:val="20"/>
                <w:lang w:val="en-GB"/>
              </w:rPr>
              <w:t>(RCT, CT, cohort, case control etc.)</w:t>
            </w:r>
          </w:p>
        </w:tc>
        <w:tc>
          <w:tcPr>
            <w:tcW w:w="1701" w:type="dxa"/>
          </w:tcPr>
          <w:p w:rsidR="00322343" w:rsidRPr="00322343" w:rsidRDefault="00322343" w:rsidP="00322343">
            <w:pPr>
              <w:pStyle w:val="Default"/>
              <w:rPr>
                <w:snapToGrid w:val="0"/>
                <w:sz w:val="18"/>
                <w:szCs w:val="18"/>
                <w:lang w:val="en-GB"/>
              </w:rPr>
            </w:pPr>
            <w:r w:rsidRPr="00322343">
              <w:rPr>
                <w:b/>
                <w:snapToGrid w:val="0"/>
                <w:sz w:val="18"/>
                <w:szCs w:val="18"/>
                <w:lang w:val="en-GB"/>
              </w:rPr>
              <w:t xml:space="preserve">Population, subject characteristics, </w:t>
            </w:r>
            <w:r w:rsidRPr="00322343">
              <w:rPr>
                <w:snapToGrid w:val="0"/>
                <w:sz w:val="18"/>
                <w:szCs w:val="18"/>
                <w:lang w:val="en-GB"/>
              </w:rPr>
              <w:t>Inclusion/exclusion criteria  Setting,  No at baseline, Male/Female, Age, Ethnicity of the subjects, Anthropometry, Location</w:t>
            </w:r>
          </w:p>
        </w:tc>
        <w:tc>
          <w:tcPr>
            <w:tcW w:w="992" w:type="dxa"/>
          </w:tcPr>
          <w:p w:rsidR="00322343" w:rsidRPr="00322343" w:rsidRDefault="00322343" w:rsidP="00322343">
            <w:pPr>
              <w:pStyle w:val="Default"/>
              <w:rPr>
                <w:snapToGrid w:val="0"/>
                <w:color w:val="FF0000"/>
                <w:sz w:val="18"/>
                <w:szCs w:val="18"/>
                <w:lang w:val="en-GB"/>
              </w:rPr>
            </w:pPr>
            <w:r w:rsidRPr="00322343">
              <w:rPr>
                <w:b/>
                <w:snapToGrid w:val="0"/>
                <w:sz w:val="18"/>
                <w:szCs w:val="18"/>
                <w:lang w:val="en-GB"/>
              </w:rPr>
              <w:t xml:space="preserve">Outcome measures </w:t>
            </w:r>
            <w:r w:rsidRPr="00322343">
              <w:rPr>
                <w:snapToGrid w:val="0"/>
                <w:sz w:val="18"/>
                <w:szCs w:val="18"/>
                <w:lang w:val="en-GB"/>
              </w:rPr>
              <w:t xml:space="preserve"> Disease, biological measures </w:t>
            </w:r>
          </w:p>
        </w:tc>
        <w:tc>
          <w:tcPr>
            <w:tcW w:w="1276" w:type="dxa"/>
          </w:tcPr>
          <w:p w:rsidR="00322343" w:rsidRPr="00322343" w:rsidRDefault="00322343" w:rsidP="00322343">
            <w:pPr>
              <w:pStyle w:val="Default"/>
              <w:rPr>
                <w:b/>
                <w:snapToGrid w:val="0"/>
                <w:sz w:val="18"/>
                <w:szCs w:val="18"/>
                <w:lang w:val="en-GB"/>
              </w:rPr>
            </w:pPr>
            <w:r w:rsidRPr="00322343">
              <w:rPr>
                <w:b/>
                <w:snapToGrid w:val="0"/>
                <w:sz w:val="18"/>
                <w:szCs w:val="18"/>
                <w:lang w:val="en-GB"/>
              </w:rPr>
              <w:t>Intervention/exposure</w:t>
            </w:r>
          </w:p>
        </w:tc>
        <w:tc>
          <w:tcPr>
            <w:tcW w:w="992" w:type="dxa"/>
          </w:tcPr>
          <w:p w:rsidR="00322343" w:rsidRPr="00322343" w:rsidRDefault="00322343" w:rsidP="00322343">
            <w:pPr>
              <w:pStyle w:val="Default"/>
              <w:rPr>
                <w:b/>
                <w:snapToGrid w:val="0"/>
                <w:sz w:val="18"/>
                <w:szCs w:val="18"/>
                <w:lang w:val="en-GB"/>
              </w:rPr>
            </w:pPr>
            <w:r w:rsidRPr="00322343">
              <w:rPr>
                <w:b/>
                <w:snapToGrid w:val="0"/>
                <w:sz w:val="18"/>
                <w:szCs w:val="18"/>
                <w:lang w:val="en-GB"/>
              </w:rPr>
              <w:t>Time between baseline exposure and outcome assessment</w:t>
            </w:r>
          </w:p>
        </w:tc>
        <w:tc>
          <w:tcPr>
            <w:tcW w:w="1134" w:type="dxa"/>
          </w:tcPr>
          <w:p w:rsidR="00322343" w:rsidRPr="00322343" w:rsidRDefault="00322343" w:rsidP="00322343">
            <w:pPr>
              <w:pStyle w:val="Default"/>
              <w:rPr>
                <w:snapToGrid w:val="0"/>
                <w:color w:val="FF0000"/>
                <w:sz w:val="18"/>
                <w:szCs w:val="18"/>
                <w:lang w:val="en-GB"/>
              </w:rPr>
            </w:pPr>
            <w:r w:rsidRPr="00322343">
              <w:rPr>
                <w:b/>
                <w:snapToGrid w:val="0"/>
                <w:sz w:val="18"/>
                <w:szCs w:val="18"/>
                <w:lang w:val="en-GB"/>
              </w:rPr>
              <w:t xml:space="preserve">Dietary assessment method </w:t>
            </w:r>
            <w:r w:rsidRPr="00322343">
              <w:rPr>
                <w:snapToGrid w:val="0"/>
                <w:sz w:val="18"/>
                <w:szCs w:val="18"/>
                <w:lang w:val="en-GB"/>
              </w:rPr>
              <w:t xml:space="preserve"> FFQ, food record  </w:t>
            </w:r>
            <w:r w:rsidRPr="00322343">
              <w:rPr>
                <w:b/>
                <w:snapToGrid w:val="0"/>
                <w:sz w:val="18"/>
                <w:szCs w:val="18"/>
                <w:lang w:val="en-GB"/>
              </w:rPr>
              <w:t>Internal validation</w:t>
            </w:r>
            <w:r w:rsidRPr="00322343">
              <w:rPr>
                <w:snapToGrid w:val="0"/>
                <w:sz w:val="18"/>
                <w:szCs w:val="18"/>
                <w:lang w:val="en-GB"/>
              </w:rPr>
              <w:t xml:space="preserve"> y/n</w:t>
            </w:r>
            <w:r w:rsidRPr="00322343">
              <w:rPr>
                <w:snapToGrid w:val="0"/>
                <w:color w:val="auto"/>
                <w:sz w:val="18"/>
                <w:szCs w:val="18"/>
                <w:lang w:val="en-GB"/>
              </w:rPr>
              <w:t xml:space="preserve">  </w:t>
            </w:r>
            <w:r w:rsidRPr="00322343">
              <w:rPr>
                <w:snapToGrid w:val="0"/>
                <w:color w:val="FF0000"/>
                <w:sz w:val="18"/>
                <w:szCs w:val="18"/>
                <w:lang w:val="en-GB"/>
              </w:rPr>
              <w:t>see separate table for more details</w:t>
            </w:r>
          </w:p>
        </w:tc>
        <w:tc>
          <w:tcPr>
            <w:tcW w:w="993" w:type="dxa"/>
          </w:tcPr>
          <w:p w:rsidR="00322343" w:rsidRPr="00322343" w:rsidRDefault="00322343" w:rsidP="00322343">
            <w:pPr>
              <w:pStyle w:val="Default"/>
              <w:rPr>
                <w:b/>
                <w:snapToGrid w:val="0"/>
                <w:sz w:val="18"/>
                <w:szCs w:val="18"/>
                <w:lang w:val="en-GB"/>
              </w:rPr>
            </w:pPr>
            <w:r w:rsidRPr="00322343">
              <w:rPr>
                <w:b/>
                <w:snapToGrid w:val="0"/>
                <w:sz w:val="18"/>
                <w:szCs w:val="18"/>
                <w:lang w:val="en-GB"/>
              </w:rPr>
              <w:t>No of subjects analysed</w:t>
            </w:r>
          </w:p>
        </w:tc>
        <w:tc>
          <w:tcPr>
            <w:tcW w:w="1701" w:type="dxa"/>
          </w:tcPr>
          <w:p w:rsidR="00322343" w:rsidRPr="00322343" w:rsidRDefault="00322343" w:rsidP="00322343">
            <w:pPr>
              <w:pStyle w:val="Default"/>
              <w:rPr>
                <w:snapToGrid w:val="0"/>
                <w:sz w:val="18"/>
                <w:szCs w:val="18"/>
                <w:lang w:val="en-GB"/>
              </w:rPr>
            </w:pPr>
            <w:r w:rsidRPr="00322343">
              <w:rPr>
                <w:b/>
                <w:snapToGrid w:val="0"/>
                <w:sz w:val="18"/>
                <w:szCs w:val="18"/>
                <w:lang w:val="en-GB"/>
              </w:rPr>
              <w:t xml:space="preserve">Intervention </w:t>
            </w:r>
            <w:proofErr w:type="spellStart"/>
            <w:r w:rsidRPr="00322343">
              <w:rPr>
                <w:snapToGrid w:val="0"/>
                <w:sz w:val="18"/>
                <w:szCs w:val="18"/>
                <w:lang w:val="en-GB"/>
              </w:rPr>
              <w:t>Intervention</w:t>
            </w:r>
            <w:proofErr w:type="spellEnd"/>
            <w:r w:rsidRPr="00322343">
              <w:rPr>
                <w:snapToGrid w:val="0"/>
                <w:sz w:val="18"/>
                <w:szCs w:val="18"/>
                <w:lang w:val="en-GB"/>
              </w:rPr>
              <w:t xml:space="preserve"> (I) (dose interval, duration) Control (C) (active, placebo, usual care etc), compliance, achieved dietary change, adherence to dietary targets, actual dietary change</w:t>
            </w:r>
          </w:p>
        </w:tc>
        <w:tc>
          <w:tcPr>
            <w:tcW w:w="1417" w:type="dxa"/>
          </w:tcPr>
          <w:p w:rsidR="00322343" w:rsidRPr="00322343" w:rsidRDefault="00322343" w:rsidP="00322343">
            <w:pPr>
              <w:pStyle w:val="Default"/>
              <w:rPr>
                <w:snapToGrid w:val="0"/>
                <w:sz w:val="18"/>
                <w:szCs w:val="18"/>
                <w:lang w:val="en-GB"/>
              </w:rPr>
            </w:pPr>
            <w:r w:rsidRPr="00322343">
              <w:rPr>
                <w:b/>
                <w:snapToGrid w:val="0"/>
                <w:sz w:val="18"/>
                <w:szCs w:val="18"/>
                <w:lang w:val="en-GB"/>
              </w:rPr>
              <w:t>Follow- up period, drop-out rate</w:t>
            </w:r>
            <w:r w:rsidRPr="00322343">
              <w:rPr>
                <w:snapToGrid w:val="0"/>
                <w:sz w:val="18"/>
                <w:szCs w:val="18"/>
                <w:lang w:val="en-GB"/>
              </w:rPr>
              <w:t xml:space="preserve"> (from baseline to follow-up, or from end of intervention to follow-up) Drop out (%)</w:t>
            </w:r>
          </w:p>
        </w:tc>
        <w:tc>
          <w:tcPr>
            <w:tcW w:w="1985" w:type="dxa"/>
          </w:tcPr>
          <w:p w:rsidR="00322343" w:rsidRPr="00322343" w:rsidRDefault="00322343" w:rsidP="00322343">
            <w:pPr>
              <w:pStyle w:val="Default"/>
              <w:rPr>
                <w:snapToGrid w:val="0"/>
                <w:sz w:val="18"/>
                <w:szCs w:val="18"/>
                <w:lang w:val="en-GB"/>
              </w:rPr>
            </w:pPr>
            <w:r w:rsidRPr="00322343">
              <w:rPr>
                <w:b/>
                <w:snapToGrid w:val="0"/>
                <w:sz w:val="18"/>
                <w:szCs w:val="18"/>
                <w:lang w:val="en-GB"/>
              </w:rPr>
              <w:t xml:space="preserve">Results </w:t>
            </w:r>
            <w:proofErr w:type="spellStart"/>
            <w:r w:rsidRPr="00322343">
              <w:rPr>
                <w:snapToGrid w:val="0"/>
                <w:sz w:val="18"/>
                <w:szCs w:val="18"/>
                <w:lang w:val="en-GB"/>
              </w:rPr>
              <w:t>Results</w:t>
            </w:r>
            <w:proofErr w:type="spellEnd"/>
            <w:r w:rsidRPr="00322343">
              <w:rPr>
                <w:snapToGrid w:val="0"/>
                <w:sz w:val="18"/>
                <w:szCs w:val="18"/>
                <w:lang w:val="en-GB"/>
              </w:rPr>
              <w:t xml:space="preserve"> (I, C) (Absolute difference, RR, OR, p-value, confidence interval, sensitivity, specificity, observer reliability?, etc)</w:t>
            </w:r>
          </w:p>
        </w:tc>
        <w:tc>
          <w:tcPr>
            <w:tcW w:w="1275" w:type="dxa"/>
          </w:tcPr>
          <w:p w:rsidR="00322343" w:rsidRPr="00322343" w:rsidRDefault="00322343" w:rsidP="00322343">
            <w:pPr>
              <w:pStyle w:val="Default"/>
              <w:rPr>
                <w:b/>
                <w:snapToGrid w:val="0"/>
                <w:sz w:val="18"/>
                <w:szCs w:val="18"/>
                <w:lang w:val="en-GB"/>
              </w:rPr>
            </w:pPr>
            <w:proofErr w:type="spellStart"/>
            <w:r w:rsidRPr="00322343">
              <w:rPr>
                <w:b/>
                <w:snapToGrid w:val="0"/>
                <w:sz w:val="18"/>
                <w:szCs w:val="18"/>
                <w:lang w:val="en-GB"/>
              </w:rPr>
              <w:t>Confoun-ders</w:t>
            </w:r>
            <w:proofErr w:type="spellEnd"/>
            <w:r w:rsidRPr="00322343">
              <w:rPr>
                <w:b/>
                <w:snapToGrid w:val="0"/>
                <w:sz w:val="18"/>
                <w:szCs w:val="18"/>
                <w:lang w:val="en-GB"/>
              </w:rPr>
              <w:t xml:space="preserve"> adjusted for</w:t>
            </w:r>
          </w:p>
        </w:tc>
        <w:tc>
          <w:tcPr>
            <w:tcW w:w="1172" w:type="dxa"/>
          </w:tcPr>
          <w:p w:rsidR="00322343" w:rsidRPr="00322343" w:rsidRDefault="00322343" w:rsidP="00322343">
            <w:pPr>
              <w:pStyle w:val="Default"/>
              <w:rPr>
                <w:snapToGrid w:val="0"/>
                <w:sz w:val="18"/>
                <w:szCs w:val="18"/>
                <w:lang w:val="en-GB"/>
              </w:rPr>
            </w:pPr>
            <w:r w:rsidRPr="00322343">
              <w:rPr>
                <w:b/>
                <w:snapToGrid w:val="0"/>
                <w:sz w:val="18"/>
                <w:szCs w:val="18"/>
                <w:lang w:val="en-GB"/>
              </w:rPr>
              <w:t xml:space="preserve">Study quality and relevance, Comments </w:t>
            </w:r>
            <w:r w:rsidRPr="00322343">
              <w:rPr>
                <w:snapToGrid w:val="0"/>
                <w:sz w:val="18"/>
                <w:szCs w:val="18"/>
                <w:lang w:val="en-GB"/>
              </w:rPr>
              <w:t>A-C</w:t>
            </w:r>
          </w:p>
        </w:tc>
      </w:tr>
      <w:tr w:rsidR="00322343" w:rsidRPr="003904D4" w:rsidTr="00322343">
        <w:trPr>
          <w:trHeight w:val="522"/>
        </w:trPr>
        <w:tc>
          <w:tcPr>
            <w:tcW w:w="817" w:type="dxa"/>
          </w:tcPr>
          <w:p w:rsidR="003904D4" w:rsidRDefault="00322343" w:rsidP="003904D4">
            <w:pPr>
              <w:pStyle w:val="Default"/>
              <w:spacing w:before="60"/>
              <w:rPr>
                <w:snapToGrid w:val="0"/>
                <w:sz w:val="18"/>
                <w:szCs w:val="18"/>
                <w:lang w:val="en-GB"/>
              </w:rPr>
            </w:pPr>
            <w:r w:rsidRPr="00322343">
              <w:rPr>
                <w:snapToGrid w:val="0"/>
                <w:sz w:val="18"/>
                <w:szCs w:val="18"/>
                <w:lang w:val="en-GB"/>
              </w:rPr>
              <w:t>Morgan2004,</w:t>
            </w:r>
          </w:p>
          <w:p w:rsidR="00322343" w:rsidRPr="00322343" w:rsidRDefault="003904D4" w:rsidP="003904D4">
            <w:pPr>
              <w:pStyle w:val="Default"/>
              <w:spacing w:before="60"/>
              <w:rPr>
                <w:snapToGrid w:val="0"/>
                <w:sz w:val="18"/>
                <w:szCs w:val="18"/>
                <w:lang w:val="en-GB"/>
              </w:rPr>
            </w:pPr>
            <w:r>
              <w:rPr>
                <w:snapToGrid w:val="0"/>
                <w:sz w:val="18"/>
                <w:szCs w:val="18"/>
                <w:lang w:val="en-GB"/>
              </w:rPr>
              <w:t>(37)</w:t>
            </w:r>
            <w:r w:rsidR="00322343" w:rsidRPr="00322343">
              <w:rPr>
                <w:snapToGrid w:val="0"/>
                <w:sz w:val="18"/>
                <w:szCs w:val="18"/>
                <w:lang w:val="en-GB"/>
              </w:rPr>
              <w:t xml:space="preserve"> UK Cohort</w:t>
            </w:r>
          </w:p>
        </w:tc>
        <w:tc>
          <w:tcPr>
            <w:tcW w:w="1701" w:type="dxa"/>
          </w:tcPr>
          <w:p w:rsidR="00322343" w:rsidRPr="00322343" w:rsidRDefault="00322343" w:rsidP="00322343">
            <w:pPr>
              <w:autoSpaceDE w:val="0"/>
              <w:autoSpaceDN w:val="0"/>
              <w:adjustRightInd w:val="0"/>
              <w:rPr>
                <w:snapToGrid w:val="0"/>
                <w:sz w:val="18"/>
                <w:szCs w:val="18"/>
                <w:lang w:val="en-GB"/>
              </w:rPr>
            </w:pPr>
            <w:r w:rsidRPr="00322343">
              <w:rPr>
                <w:rFonts w:eastAsiaTheme="minorHAnsi"/>
                <w:sz w:val="18"/>
                <w:szCs w:val="18"/>
                <w:lang w:val="en-US" w:eastAsia="en-US"/>
              </w:rPr>
              <w:t xml:space="preserve">144 infants living in Surrey and Hampshire who weighed at least 2500 g at birth and who were not receiving oral iron supplements, long-term treatment or medical care formed the study cohort. </w:t>
            </w:r>
          </w:p>
        </w:tc>
        <w:tc>
          <w:tcPr>
            <w:tcW w:w="992" w:type="dxa"/>
          </w:tcPr>
          <w:p w:rsidR="00322343" w:rsidRPr="00322343" w:rsidRDefault="00322343" w:rsidP="00322343">
            <w:pPr>
              <w:autoSpaceDE w:val="0"/>
              <w:autoSpaceDN w:val="0"/>
              <w:adjustRightInd w:val="0"/>
              <w:rPr>
                <w:rFonts w:eastAsiaTheme="minorHAnsi"/>
                <w:sz w:val="18"/>
                <w:szCs w:val="18"/>
                <w:lang w:val="en-US" w:eastAsia="en-US"/>
              </w:rPr>
            </w:pPr>
            <w:r w:rsidRPr="00322343">
              <w:rPr>
                <w:rFonts w:eastAsiaTheme="minorHAnsi"/>
                <w:sz w:val="18"/>
                <w:szCs w:val="18"/>
                <w:lang w:val="en-US" w:eastAsia="en-US"/>
              </w:rPr>
              <w:t xml:space="preserve">Neurodevelopment was determined from the mental and motor scales of the </w:t>
            </w:r>
            <w:proofErr w:type="spellStart"/>
            <w:r w:rsidRPr="00322343">
              <w:rPr>
                <w:rFonts w:eastAsiaTheme="minorHAnsi"/>
                <w:sz w:val="18"/>
                <w:szCs w:val="18"/>
                <w:lang w:val="en-US" w:eastAsia="en-US"/>
              </w:rPr>
              <w:t>Bayley</w:t>
            </w:r>
            <w:proofErr w:type="spellEnd"/>
            <w:r w:rsidRPr="00322343">
              <w:rPr>
                <w:rFonts w:eastAsiaTheme="minorHAnsi"/>
                <w:sz w:val="18"/>
                <w:szCs w:val="18"/>
                <w:lang w:val="en-US" w:eastAsia="en-US"/>
              </w:rPr>
              <w:t xml:space="preserve"> Scales of Infant Development II Body weight and length at Head circumference at the ages 4, 8, 12, 16, 20 and 24 mo </w:t>
            </w:r>
          </w:p>
        </w:tc>
        <w:tc>
          <w:tcPr>
            <w:tcW w:w="1276" w:type="dxa"/>
          </w:tcPr>
          <w:p w:rsidR="00322343" w:rsidRPr="00322343" w:rsidRDefault="00322343" w:rsidP="00322343">
            <w:pPr>
              <w:autoSpaceDE w:val="0"/>
              <w:autoSpaceDN w:val="0"/>
              <w:adjustRightInd w:val="0"/>
              <w:rPr>
                <w:rFonts w:eastAsiaTheme="minorHAnsi"/>
                <w:sz w:val="18"/>
                <w:szCs w:val="18"/>
                <w:lang w:val="en-US" w:eastAsia="en-US"/>
              </w:rPr>
            </w:pPr>
            <w:r w:rsidRPr="00322343">
              <w:rPr>
                <w:rFonts w:eastAsiaTheme="minorHAnsi"/>
                <w:sz w:val="18"/>
                <w:szCs w:val="18"/>
                <w:lang w:val="en-US" w:eastAsia="en-US"/>
              </w:rPr>
              <w:t xml:space="preserve">1. Total red and white meat intake (g) from 4–12 months as a continuous variable, i.e. total meat intake over 21 days between 4 and 12 months. 2. Total red and white meat intake (g) from 4–16 months as a continuous variable, i.e. total meat intake over 28 days between </w:t>
            </w:r>
            <w:r w:rsidRPr="00322343">
              <w:rPr>
                <w:rFonts w:eastAsiaTheme="minorHAnsi"/>
                <w:sz w:val="18"/>
                <w:szCs w:val="18"/>
                <w:lang w:val="en-US" w:eastAsia="en-US"/>
              </w:rPr>
              <w:lastRenderedPageBreak/>
              <w:t>4 and 16 months. 3. Total red and white meat intake (g) from 4–24 months as a continuous variable, i.e. total meat intake over 42 days between 4 and 24 months.</w:t>
            </w:r>
          </w:p>
        </w:tc>
        <w:tc>
          <w:tcPr>
            <w:tcW w:w="992" w:type="dxa"/>
          </w:tcPr>
          <w:p w:rsidR="00322343" w:rsidRPr="00322343" w:rsidRDefault="00322343" w:rsidP="00322343">
            <w:pPr>
              <w:pStyle w:val="Default"/>
              <w:spacing w:before="60"/>
              <w:rPr>
                <w:snapToGrid w:val="0"/>
                <w:sz w:val="18"/>
                <w:szCs w:val="18"/>
                <w:lang w:val="en-GB"/>
              </w:rPr>
            </w:pPr>
            <w:r w:rsidRPr="00322343">
              <w:rPr>
                <w:rFonts w:eastAsiaTheme="minorHAnsi"/>
                <w:sz w:val="18"/>
                <w:szCs w:val="18"/>
                <w:lang w:val="en-US" w:eastAsia="en-US"/>
              </w:rPr>
              <w:lastRenderedPageBreak/>
              <w:t>Outcome at the age of 22 months</w:t>
            </w:r>
          </w:p>
        </w:tc>
        <w:tc>
          <w:tcPr>
            <w:tcW w:w="1134" w:type="dxa"/>
          </w:tcPr>
          <w:p w:rsidR="00322343" w:rsidRPr="00322343" w:rsidRDefault="00322343" w:rsidP="00322343">
            <w:pPr>
              <w:autoSpaceDE w:val="0"/>
              <w:autoSpaceDN w:val="0"/>
              <w:adjustRightInd w:val="0"/>
              <w:rPr>
                <w:snapToGrid w:val="0"/>
                <w:sz w:val="18"/>
                <w:szCs w:val="18"/>
                <w:lang w:val="en-GB"/>
              </w:rPr>
            </w:pPr>
            <w:r w:rsidRPr="00322343">
              <w:rPr>
                <w:snapToGrid w:val="0"/>
                <w:sz w:val="18"/>
                <w:szCs w:val="18"/>
                <w:lang w:val="en-GB"/>
              </w:rPr>
              <w:t xml:space="preserve">7-day weighed food diary </w:t>
            </w:r>
            <w:r w:rsidRPr="00322343">
              <w:rPr>
                <w:rFonts w:eastAsiaTheme="minorHAnsi"/>
                <w:sz w:val="18"/>
                <w:szCs w:val="18"/>
                <w:lang w:val="en-US" w:eastAsia="en-US"/>
              </w:rPr>
              <w:t xml:space="preserve">at the ages of 4, 8, 12, 16, 20 and 24 mo. </w:t>
            </w:r>
            <w:r w:rsidRPr="00322343">
              <w:rPr>
                <w:snapToGrid w:val="0"/>
                <w:sz w:val="18"/>
                <w:szCs w:val="18"/>
                <w:lang w:val="en-GB"/>
              </w:rPr>
              <w:t>NO internal validation</w:t>
            </w:r>
          </w:p>
        </w:tc>
        <w:tc>
          <w:tcPr>
            <w:tcW w:w="993" w:type="dxa"/>
          </w:tcPr>
          <w:p w:rsidR="00322343" w:rsidRPr="00322343" w:rsidRDefault="00322343" w:rsidP="00322343">
            <w:pPr>
              <w:pStyle w:val="Default"/>
              <w:spacing w:before="60"/>
              <w:rPr>
                <w:snapToGrid w:val="0"/>
                <w:sz w:val="18"/>
                <w:szCs w:val="18"/>
                <w:lang w:val="en-GB"/>
              </w:rPr>
            </w:pPr>
            <w:r w:rsidRPr="00322343">
              <w:rPr>
                <w:snapToGrid w:val="0"/>
                <w:sz w:val="18"/>
                <w:szCs w:val="18"/>
                <w:lang w:val="en-GB"/>
              </w:rPr>
              <w:t>144</w:t>
            </w:r>
          </w:p>
        </w:tc>
        <w:tc>
          <w:tcPr>
            <w:tcW w:w="1701" w:type="dxa"/>
          </w:tcPr>
          <w:p w:rsidR="00322343" w:rsidRPr="00322343" w:rsidRDefault="00322343" w:rsidP="00322343">
            <w:pPr>
              <w:autoSpaceDE w:val="0"/>
              <w:autoSpaceDN w:val="0"/>
              <w:adjustRightInd w:val="0"/>
              <w:rPr>
                <w:rFonts w:eastAsiaTheme="minorHAnsi"/>
                <w:sz w:val="18"/>
                <w:szCs w:val="18"/>
                <w:lang w:val="en-US" w:eastAsia="en-US"/>
              </w:rPr>
            </w:pPr>
            <w:r w:rsidRPr="00322343">
              <w:rPr>
                <w:rFonts w:eastAsiaTheme="minorHAnsi"/>
                <w:sz w:val="18"/>
                <w:szCs w:val="18"/>
                <w:lang w:val="en-US" w:eastAsia="en-US"/>
              </w:rPr>
              <w:t xml:space="preserve">Parents were unaware of the specific study objectives although they received routine advice on complementary feeding (known as ‘‘weaning’’) from health visitors and were free to choose the type and amount of meat offered to their children (the study team did not influence this choice). At the time of the study, parents in the UK were advised to introduce solids between 4 and 6 months of </w:t>
            </w:r>
            <w:r w:rsidRPr="00322343">
              <w:rPr>
                <w:rFonts w:eastAsiaTheme="minorHAnsi"/>
                <w:sz w:val="18"/>
                <w:szCs w:val="18"/>
                <w:lang w:val="en-US" w:eastAsia="en-US"/>
              </w:rPr>
              <w:lastRenderedPageBreak/>
              <w:t>age.</w:t>
            </w:r>
          </w:p>
        </w:tc>
        <w:tc>
          <w:tcPr>
            <w:tcW w:w="1417" w:type="dxa"/>
          </w:tcPr>
          <w:p w:rsidR="00322343" w:rsidRPr="00322343" w:rsidRDefault="00322343" w:rsidP="00322343">
            <w:pPr>
              <w:autoSpaceDE w:val="0"/>
              <w:autoSpaceDN w:val="0"/>
              <w:adjustRightInd w:val="0"/>
              <w:rPr>
                <w:snapToGrid w:val="0"/>
                <w:sz w:val="18"/>
                <w:szCs w:val="18"/>
                <w:lang w:val="en-GB"/>
              </w:rPr>
            </w:pPr>
            <w:r w:rsidRPr="00322343">
              <w:rPr>
                <w:rFonts w:eastAsiaTheme="minorHAnsi"/>
                <w:sz w:val="18"/>
                <w:szCs w:val="18"/>
                <w:lang w:val="en-US" w:eastAsia="en-US"/>
              </w:rPr>
              <w:lastRenderedPageBreak/>
              <w:t xml:space="preserve">Subjects were recruited before they were 4 months of age and were followed up at 4-monthly intervals until </w:t>
            </w:r>
            <w:proofErr w:type="gramStart"/>
            <w:r w:rsidRPr="00322343">
              <w:rPr>
                <w:rFonts w:eastAsiaTheme="minorHAnsi"/>
                <w:sz w:val="18"/>
                <w:szCs w:val="18"/>
                <w:lang w:val="en-US" w:eastAsia="en-US"/>
              </w:rPr>
              <w:t>24  months</w:t>
            </w:r>
            <w:proofErr w:type="gramEnd"/>
            <w:r w:rsidRPr="00322343">
              <w:rPr>
                <w:rFonts w:eastAsiaTheme="minorHAnsi"/>
                <w:sz w:val="18"/>
                <w:szCs w:val="18"/>
                <w:lang w:val="en-US" w:eastAsia="en-US"/>
              </w:rPr>
              <w:t xml:space="preserve"> of age.</w:t>
            </w:r>
          </w:p>
        </w:tc>
        <w:tc>
          <w:tcPr>
            <w:tcW w:w="1985" w:type="dxa"/>
          </w:tcPr>
          <w:p w:rsidR="00322343" w:rsidRPr="00322343" w:rsidRDefault="00322343" w:rsidP="00322343">
            <w:pPr>
              <w:autoSpaceDE w:val="0"/>
              <w:autoSpaceDN w:val="0"/>
              <w:adjustRightInd w:val="0"/>
              <w:rPr>
                <w:rFonts w:eastAsiaTheme="minorHAnsi"/>
                <w:sz w:val="18"/>
                <w:szCs w:val="18"/>
                <w:lang w:val="en-US" w:eastAsia="en-US"/>
              </w:rPr>
            </w:pPr>
            <w:r w:rsidRPr="00322343">
              <w:rPr>
                <w:rFonts w:eastAsiaTheme="minorHAnsi"/>
                <w:sz w:val="18"/>
                <w:szCs w:val="18"/>
                <w:lang w:val="en-US" w:eastAsia="en-US"/>
              </w:rPr>
              <w:t xml:space="preserve">Meat intake from 4–12 months was positively and significantly related to weight gain (P &lt; 0.05); further analysis suggested this association might be mediated via protein intake but was independent of energy, zinc or iron intake. There was no interaction between meat intake and breastfeeding on growth. Meat intake from 4–12 and 4–16 months was positively and significantly related to psychomotor developmental indices (P, 0.02 and 0.013, </w:t>
            </w:r>
            <w:r w:rsidRPr="00322343">
              <w:rPr>
                <w:rFonts w:eastAsiaTheme="minorHAnsi"/>
                <w:sz w:val="18"/>
                <w:szCs w:val="18"/>
                <w:lang w:val="en-US" w:eastAsia="en-US"/>
              </w:rPr>
              <w:lastRenderedPageBreak/>
              <w:t>respectively) but there was no association between breastfeeding and psychomotor developmental indices nor any interaction between meat intake and breastfeeding. Conversely, breastfeeding was positively and significantly related to mental developmental indices (</w:t>
            </w:r>
            <w:proofErr w:type="gramStart"/>
            <w:r w:rsidRPr="00322343">
              <w:rPr>
                <w:rFonts w:eastAsiaTheme="minorHAnsi"/>
                <w:sz w:val="18"/>
                <w:szCs w:val="18"/>
                <w:lang w:val="en-US" w:eastAsia="en-US"/>
              </w:rPr>
              <w:t>P ,</w:t>
            </w:r>
            <w:proofErr w:type="gramEnd"/>
            <w:r w:rsidRPr="00322343">
              <w:rPr>
                <w:rFonts w:eastAsiaTheme="minorHAnsi"/>
                <w:sz w:val="18"/>
                <w:szCs w:val="18"/>
                <w:lang w:val="en-US" w:eastAsia="en-US"/>
              </w:rPr>
              <w:t xml:space="preserve"> 0.01) but there was no association between meat intake and mental developmental indices nor any interaction between breastfeeding and meat intake. These findings remained after adjustment for potential confounding factors.</w:t>
            </w:r>
          </w:p>
        </w:tc>
        <w:tc>
          <w:tcPr>
            <w:tcW w:w="1275" w:type="dxa"/>
          </w:tcPr>
          <w:p w:rsidR="00322343" w:rsidRPr="00322343" w:rsidRDefault="00322343" w:rsidP="00322343">
            <w:pPr>
              <w:pStyle w:val="Default"/>
              <w:spacing w:before="60"/>
              <w:rPr>
                <w:snapToGrid w:val="0"/>
                <w:sz w:val="18"/>
                <w:szCs w:val="18"/>
                <w:lang w:val="en-US"/>
              </w:rPr>
            </w:pPr>
            <w:r w:rsidRPr="00322343">
              <w:rPr>
                <w:rFonts w:eastAsiaTheme="minorHAnsi"/>
                <w:sz w:val="18"/>
                <w:szCs w:val="18"/>
                <w:lang w:val="en-US" w:eastAsia="en-US"/>
              </w:rPr>
              <w:lastRenderedPageBreak/>
              <w:t xml:space="preserve">Analysis of covariance was used to examine the independent effects of meat intake and breastfeeding on later outcomes (growth or neurodevelopment), to look for interactions between meat intake and breastfeeding on later outcome and to examine </w:t>
            </w:r>
            <w:r w:rsidRPr="00322343">
              <w:rPr>
                <w:rFonts w:eastAsiaTheme="minorHAnsi"/>
                <w:sz w:val="18"/>
                <w:szCs w:val="18"/>
                <w:lang w:val="en-US" w:eastAsia="en-US"/>
              </w:rPr>
              <w:lastRenderedPageBreak/>
              <w:t xml:space="preserve">the influence of potential confounding factors. To examine the effect of meat intake or breastfeeding on growth, measurements at later ages were adjusted for birth weigh </w:t>
            </w:r>
          </w:p>
        </w:tc>
        <w:tc>
          <w:tcPr>
            <w:tcW w:w="1172" w:type="dxa"/>
          </w:tcPr>
          <w:p w:rsidR="00322343" w:rsidRPr="00322343" w:rsidRDefault="00322343" w:rsidP="00322343">
            <w:pPr>
              <w:pStyle w:val="Default"/>
              <w:spacing w:before="60"/>
              <w:rPr>
                <w:snapToGrid w:val="0"/>
                <w:sz w:val="18"/>
                <w:szCs w:val="18"/>
                <w:lang w:val="en-GB"/>
              </w:rPr>
            </w:pPr>
            <w:r w:rsidRPr="00322343">
              <w:rPr>
                <w:snapToGrid w:val="0"/>
                <w:sz w:val="18"/>
                <w:szCs w:val="18"/>
                <w:lang w:val="en-GB"/>
              </w:rPr>
              <w:lastRenderedPageBreak/>
              <w:t xml:space="preserve">B.  </w:t>
            </w:r>
          </w:p>
          <w:p w:rsidR="00322343" w:rsidRPr="00322343" w:rsidRDefault="00322343" w:rsidP="00322343">
            <w:pPr>
              <w:pStyle w:val="Default"/>
              <w:spacing w:before="60"/>
              <w:rPr>
                <w:snapToGrid w:val="0"/>
                <w:sz w:val="18"/>
                <w:szCs w:val="18"/>
                <w:lang w:val="en-GB"/>
              </w:rPr>
            </w:pPr>
            <w:r w:rsidRPr="00322343">
              <w:rPr>
                <w:snapToGrid w:val="0"/>
                <w:sz w:val="18"/>
                <w:szCs w:val="18"/>
                <w:lang w:val="en-GB"/>
              </w:rPr>
              <w:t>Food consumption database not reported, statistical power not reported.</w:t>
            </w:r>
          </w:p>
        </w:tc>
      </w:tr>
      <w:tr w:rsidR="00322343" w:rsidRPr="003904D4" w:rsidTr="00322343">
        <w:trPr>
          <w:trHeight w:val="522"/>
        </w:trPr>
        <w:tc>
          <w:tcPr>
            <w:tcW w:w="817" w:type="dxa"/>
          </w:tcPr>
          <w:p w:rsidR="003904D4" w:rsidRDefault="00322343" w:rsidP="003904D4">
            <w:pPr>
              <w:pStyle w:val="Default"/>
              <w:spacing w:before="60"/>
              <w:rPr>
                <w:snapToGrid w:val="0"/>
                <w:sz w:val="18"/>
                <w:szCs w:val="18"/>
                <w:lang w:val="en-GB"/>
              </w:rPr>
            </w:pPr>
            <w:r w:rsidRPr="00322343">
              <w:rPr>
                <w:snapToGrid w:val="0"/>
                <w:sz w:val="18"/>
                <w:szCs w:val="18"/>
                <w:lang w:val="en-GB"/>
              </w:rPr>
              <w:lastRenderedPageBreak/>
              <w:t>Rask-</w:t>
            </w:r>
            <w:proofErr w:type="spellStart"/>
            <w:r w:rsidRPr="00322343">
              <w:rPr>
                <w:snapToGrid w:val="0"/>
                <w:sz w:val="18"/>
                <w:szCs w:val="18"/>
                <w:lang w:val="en-GB"/>
              </w:rPr>
              <w:t>Nissilä</w:t>
            </w:r>
            <w:proofErr w:type="spellEnd"/>
            <w:r w:rsidRPr="00322343">
              <w:rPr>
                <w:snapToGrid w:val="0"/>
                <w:sz w:val="18"/>
                <w:szCs w:val="18"/>
                <w:lang w:val="en-GB"/>
              </w:rPr>
              <w:t xml:space="preserve">, 2002, </w:t>
            </w:r>
            <w:r w:rsidR="003904D4">
              <w:rPr>
                <w:snapToGrid w:val="0"/>
                <w:sz w:val="18"/>
                <w:szCs w:val="18"/>
                <w:lang w:val="en-GB"/>
              </w:rPr>
              <w:t>(59)</w:t>
            </w:r>
          </w:p>
          <w:p w:rsidR="00322343" w:rsidRPr="00322343" w:rsidRDefault="00322343" w:rsidP="003904D4">
            <w:pPr>
              <w:pStyle w:val="Default"/>
              <w:spacing w:before="60"/>
              <w:rPr>
                <w:snapToGrid w:val="0"/>
                <w:sz w:val="18"/>
                <w:szCs w:val="18"/>
                <w:lang w:val="en-GB"/>
              </w:rPr>
            </w:pPr>
            <w:r w:rsidRPr="00322343">
              <w:rPr>
                <w:snapToGrid w:val="0"/>
                <w:sz w:val="18"/>
                <w:szCs w:val="18"/>
                <w:lang w:val="en-GB"/>
              </w:rPr>
              <w:t>Finland  Cohort</w:t>
            </w:r>
          </w:p>
        </w:tc>
        <w:tc>
          <w:tcPr>
            <w:tcW w:w="1701" w:type="dxa"/>
          </w:tcPr>
          <w:p w:rsidR="00322343" w:rsidRPr="00322343" w:rsidRDefault="00322343" w:rsidP="00322343">
            <w:pPr>
              <w:pStyle w:val="Default"/>
              <w:spacing w:before="60"/>
              <w:rPr>
                <w:snapToGrid w:val="0"/>
                <w:sz w:val="18"/>
                <w:szCs w:val="18"/>
                <w:lang w:val="en-GB"/>
              </w:rPr>
            </w:pPr>
            <w:r w:rsidRPr="00322343">
              <w:rPr>
                <w:rFonts w:eastAsiaTheme="minorHAnsi"/>
                <w:color w:val="292526"/>
                <w:sz w:val="18"/>
                <w:szCs w:val="18"/>
                <w:lang w:val="en-US" w:eastAsia="en-US"/>
              </w:rPr>
              <w:t xml:space="preserve">1062 7-month-old infants were randomly assigned into a control group (n = 522) and an intervention group (n = 540) to receive individualized dietary counseling.  The neurologic development of the children was assessed once at the age of 5 years by using a collection of developmental screening tests. At the time of the study, 522 children were living within </w:t>
            </w:r>
            <w:r w:rsidRPr="00322343">
              <w:rPr>
                <w:rFonts w:eastAsiaTheme="minorHAnsi"/>
                <w:color w:val="292526"/>
                <w:sz w:val="18"/>
                <w:szCs w:val="18"/>
                <w:lang w:val="en-US" w:eastAsia="en-US"/>
              </w:rPr>
              <w:lastRenderedPageBreak/>
              <w:t>the borders of the city of Turku. Permission to use the data was obtained from 496 (95%) families. These  All children were clinically healthy</w:t>
            </w:r>
            <w:r w:rsidRPr="00322343">
              <w:rPr>
                <w:rFonts w:eastAsiaTheme="minorHAnsi"/>
                <w:sz w:val="18"/>
                <w:szCs w:val="18"/>
                <w:lang w:val="en-US" w:eastAsia="en-US"/>
              </w:rPr>
              <w:t xml:space="preserve"> </w:t>
            </w:r>
          </w:p>
        </w:tc>
        <w:tc>
          <w:tcPr>
            <w:tcW w:w="992" w:type="dxa"/>
          </w:tcPr>
          <w:p w:rsidR="00322343" w:rsidRPr="00322343" w:rsidRDefault="00322343" w:rsidP="00322343">
            <w:pPr>
              <w:autoSpaceDE w:val="0"/>
              <w:autoSpaceDN w:val="0"/>
              <w:adjustRightInd w:val="0"/>
              <w:rPr>
                <w:rFonts w:eastAsiaTheme="minorHAnsi"/>
                <w:color w:val="000000"/>
                <w:sz w:val="18"/>
                <w:szCs w:val="18"/>
                <w:lang w:val="en-US" w:eastAsia="en-US"/>
              </w:rPr>
            </w:pPr>
            <w:r w:rsidRPr="00322343">
              <w:rPr>
                <w:rFonts w:eastAsiaTheme="minorHAnsi"/>
                <w:color w:val="292526"/>
                <w:sz w:val="18"/>
                <w:szCs w:val="18"/>
                <w:lang w:val="en-US" w:eastAsia="en-US"/>
              </w:rPr>
              <w:lastRenderedPageBreak/>
              <w:t>The neurologic development (speech and language skills, gross motor performance and perception)</w:t>
            </w:r>
            <w:r w:rsidRPr="00322343">
              <w:rPr>
                <w:rFonts w:eastAsiaTheme="minorHAnsi"/>
                <w:color w:val="000000"/>
                <w:sz w:val="18"/>
                <w:szCs w:val="18"/>
                <w:lang w:val="en-US" w:eastAsia="en-US"/>
              </w:rPr>
              <w:t xml:space="preserve"> </w:t>
            </w:r>
            <w:r w:rsidRPr="00322343">
              <w:rPr>
                <w:rFonts w:eastAsiaTheme="minorHAnsi"/>
                <w:color w:val="292526"/>
                <w:sz w:val="18"/>
                <w:szCs w:val="18"/>
                <w:lang w:val="en-US" w:eastAsia="en-US"/>
              </w:rPr>
              <w:t xml:space="preserve">  Nutrient intakes, serum cholesterol values</w:t>
            </w:r>
          </w:p>
        </w:tc>
        <w:tc>
          <w:tcPr>
            <w:tcW w:w="1276" w:type="dxa"/>
          </w:tcPr>
          <w:p w:rsidR="00322343" w:rsidRPr="00322343" w:rsidRDefault="00322343" w:rsidP="00322343">
            <w:pPr>
              <w:autoSpaceDE w:val="0"/>
              <w:autoSpaceDN w:val="0"/>
              <w:adjustRightInd w:val="0"/>
              <w:rPr>
                <w:snapToGrid w:val="0"/>
                <w:sz w:val="18"/>
                <w:szCs w:val="18"/>
                <w:lang w:val="en-US"/>
              </w:rPr>
            </w:pPr>
            <w:r w:rsidRPr="00322343">
              <w:rPr>
                <w:rFonts w:eastAsiaTheme="minorHAnsi"/>
                <w:color w:val="292526"/>
                <w:sz w:val="18"/>
                <w:szCs w:val="18"/>
                <w:lang w:val="en-US" w:eastAsia="en-US"/>
              </w:rPr>
              <w:t>(energy [kcal]; fat [E%]; saturated, monounsaturated, and polyunsaturated fatty acids [E%]; protein [E%]; and cholesterol [mg/d]) and serum cholesterol concentrations</w:t>
            </w:r>
          </w:p>
        </w:tc>
        <w:tc>
          <w:tcPr>
            <w:tcW w:w="992" w:type="dxa"/>
          </w:tcPr>
          <w:p w:rsidR="00322343" w:rsidRPr="00322343" w:rsidRDefault="00322343" w:rsidP="00322343">
            <w:pPr>
              <w:pStyle w:val="Default"/>
              <w:spacing w:before="60"/>
              <w:rPr>
                <w:snapToGrid w:val="0"/>
                <w:sz w:val="18"/>
                <w:szCs w:val="18"/>
                <w:lang w:val="en-GB"/>
              </w:rPr>
            </w:pPr>
            <w:r w:rsidRPr="00322343">
              <w:rPr>
                <w:snapToGrid w:val="0"/>
                <w:sz w:val="18"/>
                <w:szCs w:val="18"/>
                <w:lang w:val="en-GB"/>
              </w:rPr>
              <w:t>Outcome at the age of 5 yr.</w:t>
            </w:r>
          </w:p>
        </w:tc>
        <w:tc>
          <w:tcPr>
            <w:tcW w:w="1134" w:type="dxa"/>
          </w:tcPr>
          <w:p w:rsidR="00322343" w:rsidRPr="00322343" w:rsidRDefault="00322343" w:rsidP="00322343">
            <w:pPr>
              <w:autoSpaceDE w:val="0"/>
              <w:autoSpaceDN w:val="0"/>
              <w:adjustRightInd w:val="0"/>
              <w:rPr>
                <w:rFonts w:eastAsiaTheme="minorHAnsi"/>
                <w:color w:val="000000"/>
                <w:sz w:val="18"/>
                <w:szCs w:val="18"/>
                <w:lang w:val="en-US" w:eastAsia="en-US"/>
              </w:rPr>
            </w:pPr>
            <w:proofErr w:type="gramStart"/>
            <w:r w:rsidRPr="00322343">
              <w:rPr>
                <w:rFonts w:eastAsiaTheme="minorHAnsi"/>
                <w:color w:val="292526"/>
                <w:sz w:val="18"/>
                <w:szCs w:val="18"/>
                <w:lang w:val="en-US" w:eastAsia="en-US"/>
              </w:rPr>
              <w:t>a</w:t>
            </w:r>
            <w:proofErr w:type="gramEnd"/>
            <w:r w:rsidRPr="00322343">
              <w:rPr>
                <w:rFonts w:eastAsiaTheme="minorHAnsi"/>
                <w:color w:val="292526"/>
                <w:sz w:val="18"/>
                <w:szCs w:val="18"/>
                <w:lang w:val="en-US" w:eastAsia="en-US"/>
              </w:rPr>
              <w:t xml:space="preserve"> 3-day food record at 8, 13, and 18 months of age and in a 4-day food record twice a year thereafter. No internal validation</w:t>
            </w:r>
          </w:p>
        </w:tc>
        <w:tc>
          <w:tcPr>
            <w:tcW w:w="993" w:type="dxa"/>
          </w:tcPr>
          <w:p w:rsidR="00322343" w:rsidRPr="00322343" w:rsidRDefault="00322343" w:rsidP="00322343">
            <w:pPr>
              <w:autoSpaceDE w:val="0"/>
              <w:autoSpaceDN w:val="0"/>
              <w:adjustRightInd w:val="0"/>
              <w:rPr>
                <w:snapToGrid w:val="0"/>
                <w:sz w:val="18"/>
                <w:szCs w:val="18"/>
                <w:lang w:val="en-GB"/>
              </w:rPr>
            </w:pPr>
            <w:r w:rsidRPr="00322343">
              <w:rPr>
                <w:snapToGrid w:val="0"/>
                <w:sz w:val="18"/>
                <w:szCs w:val="18"/>
                <w:lang w:val="en-GB"/>
              </w:rPr>
              <w:t xml:space="preserve">496 </w:t>
            </w:r>
            <w:r w:rsidRPr="00322343">
              <w:rPr>
                <w:rFonts w:eastAsiaTheme="minorHAnsi"/>
                <w:color w:val="292526"/>
                <w:sz w:val="18"/>
                <w:szCs w:val="18"/>
                <w:lang w:val="en-US" w:eastAsia="en-US"/>
              </w:rPr>
              <w:t>children, evenly distributed between the intervention (n = 256, 143 boys) and control (n = 240, 124 boys) groups</w:t>
            </w:r>
          </w:p>
        </w:tc>
        <w:tc>
          <w:tcPr>
            <w:tcW w:w="1701" w:type="dxa"/>
          </w:tcPr>
          <w:p w:rsidR="00322343" w:rsidRPr="00322343" w:rsidRDefault="00322343" w:rsidP="00322343">
            <w:pPr>
              <w:autoSpaceDE w:val="0"/>
              <w:autoSpaceDN w:val="0"/>
              <w:adjustRightInd w:val="0"/>
              <w:rPr>
                <w:rFonts w:eastAsiaTheme="minorHAnsi"/>
                <w:color w:val="000000"/>
                <w:sz w:val="18"/>
                <w:szCs w:val="18"/>
                <w:lang w:val="en-US" w:eastAsia="en-US"/>
              </w:rPr>
            </w:pPr>
            <w:r w:rsidRPr="00322343">
              <w:rPr>
                <w:rFonts w:eastAsiaTheme="minorHAnsi"/>
                <w:color w:val="292526"/>
                <w:sz w:val="18"/>
                <w:szCs w:val="18"/>
                <w:lang w:val="en-US" w:eastAsia="en-US"/>
              </w:rPr>
              <w:t xml:space="preserve">The aims of the counseling of the intervention group were a fat intake of 30 to 35 E% (percent of total energy), a saturated/ monounsaturated/ polyunsaturated fatty acid ratio of 1:1:1. The families were advised to continue breast-feeding or to use formula until the age of 12 months and skim milk 0.5 to 0.6 L daily thereafter. The parents were instructed to add 2 </w:t>
            </w:r>
            <w:r w:rsidRPr="00322343">
              <w:rPr>
                <w:rFonts w:eastAsiaTheme="minorHAnsi"/>
                <w:color w:val="292526"/>
                <w:sz w:val="18"/>
                <w:szCs w:val="18"/>
                <w:lang w:val="en-US" w:eastAsia="en-US"/>
              </w:rPr>
              <w:lastRenderedPageBreak/>
              <w:t>to 3 teaspoonfuls of soft margarine or vegetable oil, mainly low-</w:t>
            </w:r>
            <w:proofErr w:type="spellStart"/>
            <w:r w:rsidRPr="00322343">
              <w:rPr>
                <w:rFonts w:eastAsiaTheme="minorHAnsi"/>
                <w:color w:val="292526"/>
                <w:sz w:val="18"/>
                <w:szCs w:val="18"/>
                <w:lang w:val="en-US" w:eastAsia="en-US"/>
              </w:rPr>
              <w:t>erucic</w:t>
            </w:r>
            <w:proofErr w:type="spellEnd"/>
            <w:r w:rsidRPr="00322343">
              <w:rPr>
                <w:rFonts w:eastAsiaTheme="minorHAnsi"/>
                <w:color w:val="292526"/>
                <w:sz w:val="18"/>
                <w:szCs w:val="18"/>
                <w:lang w:val="en-US" w:eastAsia="en-US"/>
              </w:rPr>
              <w:t xml:space="preserve"> acid rapeseed oil, to the food of the 12- to 24-month-old children. The control group received the routine health education given to all Finnish families at the well-baby clinics.   The mothers were also advised to continue breast-feeding or to use formula until the child was 12 months, but cow’s milk containing at least 1.9% fat (1.5% fat after May 1995) was recommended thereafter. In both groups, daily supplementation of 400 μg (1000 IU) vitamin A and 10 </w:t>
            </w:r>
            <w:proofErr w:type="spellStart"/>
            <w:r w:rsidRPr="00322343">
              <w:rPr>
                <w:rFonts w:eastAsiaTheme="minorHAnsi"/>
                <w:color w:val="292526"/>
                <w:sz w:val="18"/>
                <w:szCs w:val="18"/>
                <w:lang w:val="en-US" w:eastAsia="en-US"/>
              </w:rPr>
              <w:t>μg</w:t>
            </w:r>
            <w:proofErr w:type="spellEnd"/>
            <w:r w:rsidRPr="00322343">
              <w:rPr>
                <w:rFonts w:eastAsiaTheme="minorHAnsi"/>
                <w:color w:val="292526"/>
                <w:sz w:val="18"/>
                <w:szCs w:val="18"/>
                <w:lang w:val="en-US" w:eastAsia="en-US"/>
              </w:rPr>
              <w:t xml:space="preserve"> (400 IU) vitamin D2 was recommended until the child’s age of 2 years. </w:t>
            </w:r>
          </w:p>
        </w:tc>
        <w:tc>
          <w:tcPr>
            <w:tcW w:w="1417" w:type="dxa"/>
          </w:tcPr>
          <w:p w:rsidR="00322343" w:rsidRPr="00322343" w:rsidRDefault="00322343" w:rsidP="00322343">
            <w:pPr>
              <w:pStyle w:val="Default"/>
              <w:spacing w:before="60"/>
              <w:rPr>
                <w:snapToGrid w:val="0"/>
                <w:sz w:val="18"/>
                <w:szCs w:val="18"/>
                <w:lang w:val="en-GB"/>
              </w:rPr>
            </w:pPr>
            <w:r w:rsidRPr="00322343">
              <w:rPr>
                <w:rFonts w:eastAsiaTheme="minorHAnsi"/>
                <w:color w:val="292526"/>
                <w:sz w:val="18"/>
                <w:szCs w:val="18"/>
                <w:lang w:val="en-US" w:eastAsia="en-US"/>
              </w:rPr>
              <w:lastRenderedPageBreak/>
              <w:t>The families in the intervention and control groups met a pediatrician and a dietitian at 1- to 3-month and 4- to 6-month intervals, respectively. After the age of 2 years, the visits in both groups occurred at 6- month intervals.</w:t>
            </w:r>
            <w:r w:rsidRPr="00322343">
              <w:rPr>
                <w:rFonts w:eastAsiaTheme="minorHAnsi"/>
                <w:sz w:val="18"/>
                <w:szCs w:val="18"/>
                <w:lang w:val="en-US" w:eastAsia="en-US"/>
              </w:rPr>
              <w:t xml:space="preserve"> </w:t>
            </w:r>
          </w:p>
        </w:tc>
        <w:tc>
          <w:tcPr>
            <w:tcW w:w="1985" w:type="dxa"/>
          </w:tcPr>
          <w:p w:rsidR="00322343" w:rsidRPr="00322343" w:rsidRDefault="00322343" w:rsidP="00322343">
            <w:pPr>
              <w:pStyle w:val="Default"/>
              <w:spacing w:before="60"/>
              <w:rPr>
                <w:snapToGrid w:val="0"/>
                <w:sz w:val="18"/>
                <w:szCs w:val="18"/>
                <w:lang w:val="en-GB"/>
              </w:rPr>
            </w:pPr>
            <w:r w:rsidRPr="00322343">
              <w:rPr>
                <w:rFonts w:eastAsiaTheme="minorHAnsi"/>
                <w:color w:val="292526"/>
                <w:sz w:val="18"/>
                <w:szCs w:val="18"/>
                <w:lang w:val="en-US" w:eastAsia="en-US"/>
              </w:rPr>
              <w:t>In 13-month-old boys (girls), energy intake was 996 (938) kcal, fat intake 26.6 (26.4) percent of energy (</w:t>
            </w:r>
            <w:proofErr w:type="gramStart"/>
            <w:r w:rsidRPr="00322343">
              <w:rPr>
                <w:rFonts w:eastAsiaTheme="minorHAnsi"/>
                <w:color w:val="292526"/>
                <w:sz w:val="18"/>
                <w:szCs w:val="18"/>
                <w:lang w:val="en-US" w:eastAsia="en-US"/>
              </w:rPr>
              <w:t>E%</w:t>
            </w:r>
            <w:proofErr w:type="gramEnd"/>
            <w:r w:rsidRPr="00322343">
              <w:rPr>
                <w:rFonts w:eastAsiaTheme="minorHAnsi"/>
                <w:color w:val="292526"/>
                <w:sz w:val="18"/>
                <w:szCs w:val="18"/>
                <w:lang w:val="en-US" w:eastAsia="en-US"/>
              </w:rPr>
              <w:t xml:space="preserve">), and protein intake 17.2 (17.4) E%. In 5-year-old boys (girls), the intakes were 1484 (1364) kcal, 32.1 (31.9) E%, and 15.5 (15.9) E%, respectively. The intakes of total fat and saturated fat and serum cholesterol were not associated with neurodevelopment. In boys, high intake of protein at 5 years, high intakes of protein at 4 </w:t>
            </w:r>
            <w:r w:rsidRPr="00322343">
              <w:rPr>
                <w:rFonts w:eastAsiaTheme="minorHAnsi"/>
                <w:color w:val="292526"/>
                <w:sz w:val="18"/>
                <w:szCs w:val="18"/>
                <w:lang w:val="en-US" w:eastAsia="en-US"/>
              </w:rPr>
              <w:lastRenderedPageBreak/>
              <w:t xml:space="preserve">years and cholesterol at 2 years, and high intake of polyunsaturated fatty acids at 3 years predicted favorable outcomes in the tests of speech and language skills, gross motor function and perception, and visual motor skills, respectively. </w:t>
            </w:r>
            <w:proofErr w:type="spellStart"/>
            <w:r w:rsidRPr="00322343">
              <w:rPr>
                <w:rFonts w:eastAsiaTheme="minorHAnsi"/>
                <w:color w:val="292526"/>
                <w:sz w:val="18"/>
                <w:szCs w:val="18"/>
                <w:lang w:val="en-US" w:eastAsia="en-US"/>
              </w:rPr>
              <w:t>Apolipoprotein</w:t>
            </w:r>
            <w:proofErr w:type="spellEnd"/>
            <w:r w:rsidRPr="00322343">
              <w:rPr>
                <w:rFonts w:eastAsiaTheme="minorHAnsi"/>
                <w:color w:val="292526"/>
                <w:sz w:val="18"/>
                <w:szCs w:val="18"/>
                <w:lang w:val="en-US" w:eastAsia="en-US"/>
              </w:rPr>
              <w:t xml:space="preserve"> E phenotype did not influence the test performance.</w:t>
            </w:r>
            <w:r w:rsidRPr="00322343">
              <w:rPr>
                <w:rFonts w:eastAsiaTheme="minorHAnsi"/>
                <w:sz w:val="18"/>
                <w:szCs w:val="18"/>
                <w:lang w:val="en-US" w:eastAsia="en-US"/>
              </w:rPr>
              <w:t xml:space="preserve"> </w:t>
            </w:r>
          </w:p>
        </w:tc>
        <w:tc>
          <w:tcPr>
            <w:tcW w:w="1275" w:type="dxa"/>
          </w:tcPr>
          <w:p w:rsidR="00322343" w:rsidRPr="00322343" w:rsidRDefault="00322343" w:rsidP="00322343">
            <w:pPr>
              <w:pStyle w:val="Default"/>
              <w:spacing w:before="60"/>
              <w:rPr>
                <w:snapToGrid w:val="0"/>
                <w:sz w:val="18"/>
                <w:szCs w:val="18"/>
                <w:lang w:val="en-GB"/>
              </w:rPr>
            </w:pPr>
            <w:proofErr w:type="gramStart"/>
            <w:r w:rsidRPr="00322343">
              <w:rPr>
                <w:rFonts w:eastAsiaTheme="minorHAnsi"/>
                <w:color w:val="292526"/>
                <w:sz w:val="18"/>
                <w:szCs w:val="18"/>
                <w:lang w:val="en-US" w:eastAsia="en-US"/>
              </w:rPr>
              <w:lastRenderedPageBreak/>
              <w:t>a</w:t>
            </w:r>
            <w:proofErr w:type="gramEnd"/>
            <w:r w:rsidRPr="00322343">
              <w:rPr>
                <w:rFonts w:eastAsiaTheme="minorHAnsi"/>
                <w:color w:val="292526"/>
                <w:sz w:val="18"/>
                <w:szCs w:val="18"/>
                <w:lang w:val="en-US" w:eastAsia="en-US"/>
              </w:rPr>
              <w:t xml:space="preserve"> detailed growth analysis did not indicate any differences in growth of the children in the intervention group and in the control group.17 To analyze the data according to the actual diet as evaluated by food records, the intervention </w:t>
            </w:r>
            <w:r w:rsidRPr="00322343">
              <w:rPr>
                <w:rFonts w:eastAsiaTheme="minorHAnsi"/>
                <w:color w:val="292526"/>
                <w:sz w:val="18"/>
                <w:szCs w:val="18"/>
                <w:lang w:val="en-US" w:eastAsia="en-US"/>
              </w:rPr>
              <w:lastRenderedPageBreak/>
              <w:t>and control groups were used as a combined cohort in the present study. Boys and girls were analyzed separately due to the better outcome of the girls in the testing.</w:t>
            </w:r>
            <w:r w:rsidRPr="00322343">
              <w:rPr>
                <w:rFonts w:eastAsiaTheme="minorHAnsi"/>
                <w:sz w:val="18"/>
                <w:szCs w:val="18"/>
                <w:lang w:val="en-US" w:eastAsia="en-US"/>
              </w:rPr>
              <w:t xml:space="preserve"> </w:t>
            </w:r>
          </w:p>
        </w:tc>
        <w:tc>
          <w:tcPr>
            <w:tcW w:w="1172" w:type="dxa"/>
          </w:tcPr>
          <w:p w:rsidR="00322343" w:rsidRPr="00322343" w:rsidRDefault="00322343" w:rsidP="00322343">
            <w:pPr>
              <w:pStyle w:val="Default"/>
              <w:spacing w:before="60"/>
              <w:rPr>
                <w:snapToGrid w:val="0"/>
                <w:sz w:val="18"/>
                <w:szCs w:val="18"/>
                <w:lang w:val="en-GB"/>
              </w:rPr>
            </w:pPr>
            <w:r w:rsidRPr="00322343">
              <w:rPr>
                <w:snapToGrid w:val="0"/>
                <w:sz w:val="18"/>
                <w:szCs w:val="18"/>
                <w:lang w:val="en-GB"/>
              </w:rPr>
              <w:lastRenderedPageBreak/>
              <w:t xml:space="preserve">B.  </w:t>
            </w:r>
          </w:p>
          <w:p w:rsidR="00322343" w:rsidRPr="00322343" w:rsidRDefault="00322343" w:rsidP="00322343">
            <w:pPr>
              <w:pStyle w:val="Default"/>
              <w:spacing w:before="60"/>
              <w:rPr>
                <w:snapToGrid w:val="0"/>
                <w:sz w:val="18"/>
                <w:szCs w:val="18"/>
                <w:lang w:val="en-GB"/>
              </w:rPr>
            </w:pPr>
            <w:r w:rsidRPr="00322343">
              <w:rPr>
                <w:snapToGrid w:val="0"/>
                <w:sz w:val="18"/>
                <w:szCs w:val="18"/>
                <w:lang w:val="en-GB"/>
              </w:rPr>
              <w:t>Criteria for inclusion/exclusion not clear, loss to follow-up &gt; 50%, associations between dietary exposures not reported, energy adjustment not clear, confounders?</w:t>
            </w:r>
          </w:p>
        </w:tc>
      </w:tr>
    </w:tbl>
    <w:p w:rsidR="00197533" w:rsidRPr="00322343" w:rsidRDefault="001E6C97" w:rsidP="00197533">
      <w:pPr>
        <w:pStyle w:val="Default"/>
        <w:rPr>
          <w:b/>
          <w:snapToGrid w:val="0"/>
          <w:color w:val="auto"/>
          <w:sz w:val="18"/>
          <w:szCs w:val="18"/>
          <w:lang w:val="en-US"/>
        </w:rPr>
      </w:pPr>
      <w:r w:rsidRPr="00322343">
        <w:rPr>
          <w:b/>
          <w:bCs/>
          <w:sz w:val="18"/>
          <w:szCs w:val="18"/>
          <w:lang w:val="en-US"/>
        </w:rPr>
        <w:lastRenderedPageBreak/>
        <w:t xml:space="preserve"> </w:t>
      </w:r>
      <w:r w:rsidR="007B31AF" w:rsidRPr="00322343">
        <w:rPr>
          <w:b/>
          <w:bCs/>
          <w:sz w:val="18"/>
          <w:szCs w:val="18"/>
          <w:lang w:val="en-US"/>
        </w:rPr>
        <w:br w:type="page"/>
      </w:r>
      <w:r w:rsidRPr="00322343">
        <w:rPr>
          <w:b/>
          <w:bCs/>
          <w:sz w:val="18"/>
          <w:szCs w:val="18"/>
          <w:lang w:val="en-US"/>
        </w:rPr>
        <w:lastRenderedPageBreak/>
        <w:t xml:space="preserve"> </w:t>
      </w:r>
      <w:r w:rsidR="00671095" w:rsidRPr="00322343">
        <w:rPr>
          <w:b/>
          <w:bCs/>
          <w:sz w:val="18"/>
          <w:szCs w:val="18"/>
          <w:lang w:val="en-US"/>
        </w:rPr>
        <w:t xml:space="preserve">Evidence table: </w:t>
      </w:r>
      <w:r w:rsidR="00197533" w:rsidRPr="00322343">
        <w:rPr>
          <w:b/>
          <w:bCs/>
          <w:sz w:val="18"/>
          <w:szCs w:val="18"/>
          <w:lang w:val="en-US"/>
        </w:rPr>
        <w:t xml:space="preserve">Dietary information/Background </w:t>
      </w:r>
      <w:r w:rsidR="00197533" w:rsidRPr="00322343">
        <w:rPr>
          <w:b/>
          <w:bCs/>
          <w:color w:val="auto"/>
          <w:sz w:val="18"/>
          <w:szCs w:val="18"/>
          <w:lang w:val="en-US"/>
        </w:rPr>
        <w:t xml:space="preserve">diet*  </w:t>
      </w:r>
      <w:r w:rsidRPr="00322343">
        <w:rPr>
          <w:b/>
          <w:bCs/>
          <w:color w:val="auto"/>
          <w:sz w:val="18"/>
          <w:szCs w:val="18"/>
          <w:lang w:val="en-US"/>
        </w:rPr>
        <w:t xml:space="preserve"> </w:t>
      </w:r>
    </w:p>
    <w:tbl>
      <w:tblPr>
        <w:tblW w:w="1387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92"/>
        <w:gridCol w:w="1810"/>
        <w:gridCol w:w="1701"/>
        <w:gridCol w:w="2409"/>
        <w:gridCol w:w="1276"/>
        <w:gridCol w:w="2410"/>
        <w:gridCol w:w="850"/>
        <w:gridCol w:w="851"/>
        <w:gridCol w:w="850"/>
        <w:gridCol w:w="725"/>
      </w:tblGrid>
      <w:tr w:rsidR="008E5C89" w:rsidRPr="00322343" w:rsidTr="00772979">
        <w:tc>
          <w:tcPr>
            <w:tcW w:w="992" w:type="dxa"/>
            <w:tcBorders>
              <w:top w:val="single" w:sz="8" w:space="0" w:color="000000"/>
              <w:left w:val="single" w:sz="8" w:space="0" w:color="000000"/>
              <w:bottom w:val="single" w:sz="8" w:space="0" w:color="000000"/>
              <w:right w:val="single" w:sz="8" w:space="0" w:color="000000"/>
            </w:tcBorders>
          </w:tcPr>
          <w:p w:rsidR="003904D4" w:rsidRDefault="008E5C89" w:rsidP="003904D4">
            <w:pPr>
              <w:autoSpaceDE w:val="0"/>
              <w:autoSpaceDN w:val="0"/>
              <w:adjustRightInd w:val="0"/>
              <w:rPr>
                <w:b/>
                <w:bCs/>
                <w:sz w:val="18"/>
                <w:szCs w:val="18"/>
              </w:rPr>
            </w:pPr>
            <w:proofErr w:type="spellStart"/>
            <w:proofErr w:type="gramStart"/>
            <w:r w:rsidRPr="00322343">
              <w:rPr>
                <w:b/>
                <w:bCs/>
                <w:sz w:val="18"/>
                <w:szCs w:val="18"/>
              </w:rPr>
              <w:t>Author</w:t>
            </w:r>
            <w:proofErr w:type="spellEnd"/>
            <w:r w:rsidRPr="00322343">
              <w:rPr>
                <w:b/>
                <w:bCs/>
                <w:sz w:val="18"/>
                <w:szCs w:val="18"/>
              </w:rPr>
              <w:t xml:space="preserve"> </w:t>
            </w:r>
            <w:r w:rsidR="001E6C97" w:rsidRPr="00322343">
              <w:rPr>
                <w:sz w:val="18"/>
                <w:szCs w:val="18"/>
              </w:rPr>
              <w:t xml:space="preserve"> </w:t>
            </w:r>
            <w:proofErr w:type="spellStart"/>
            <w:r w:rsidRPr="00322343">
              <w:rPr>
                <w:b/>
                <w:bCs/>
                <w:sz w:val="18"/>
                <w:szCs w:val="18"/>
              </w:rPr>
              <w:t>Year</w:t>
            </w:r>
            <w:proofErr w:type="spellEnd"/>
            <w:proofErr w:type="gramEnd"/>
          </w:p>
          <w:p w:rsidR="008E5C89" w:rsidRPr="00322343" w:rsidRDefault="003904D4" w:rsidP="003904D4">
            <w:pPr>
              <w:autoSpaceDE w:val="0"/>
              <w:autoSpaceDN w:val="0"/>
              <w:adjustRightInd w:val="0"/>
              <w:rPr>
                <w:b/>
                <w:sz w:val="18"/>
                <w:szCs w:val="18"/>
              </w:rPr>
            </w:pPr>
            <w:r>
              <w:rPr>
                <w:b/>
                <w:bCs/>
                <w:sz w:val="18"/>
                <w:szCs w:val="18"/>
                <w:lang w:val="en-US"/>
              </w:rPr>
              <w:t>(ref nr)</w:t>
            </w:r>
          </w:p>
        </w:tc>
        <w:tc>
          <w:tcPr>
            <w:tcW w:w="1810"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rPr>
            </w:pPr>
            <w:r w:rsidRPr="00322343">
              <w:rPr>
                <w:b/>
                <w:bCs/>
                <w:sz w:val="18"/>
                <w:szCs w:val="18"/>
              </w:rPr>
              <w:t xml:space="preserve">Expo-sure </w:t>
            </w:r>
          </w:p>
        </w:tc>
        <w:tc>
          <w:tcPr>
            <w:tcW w:w="1701"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rPr>
            </w:pPr>
            <w:proofErr w:type="spellStart"/>
            <w:r w:rsidRPr="00322343">
              <w:rPr>
                <w:b/>
                <w:bCs/>
                <w:sz w:val="18"/>
                <w:szCs w:val="18"/>
              </w:rPr>
              <w:t>Dietary</w:t>
            </w:r>
            <w:proofErr w:type="spellEnd"/>
            <w:r w:rsidRPr="00322343">
              <w:rPr>
                <w:b/>
                <w:bCs/>
                <w:sz w:val="18"/>
                <w:szCs w:val="18"/>
              </w:rPr>
              <w:t xml:space="preserve"> </w:t>
            </w:r>
            <w:proofErr w:type="spellStart"/>
            <w:r w:rsidRPr="00322343">
              <w:rPr>
                <w:b/>
                <w:bCs/>
                <w:sz w:val="18"/>
                <w:szCs w:val="18"/>
              </w:rPr>
              <w:t>Assessment</w:t>
            </w:r>
            <w:proofErr w:type="spellEnd"/>
            <w:r w:rsidRPr="00322343">
              <w:rPr>
                <w:b/>
                <w:bCs/>
                <w:sz w:val="18"/>
                <w:szCs w:val="18"/>
              </w:rPr>
              <w:t xml:space="preserve"> </w:t>
            </w:r>
            <w:proofErr w:type="spellStart"/>
            <w:r w:rsidRPr="00322343">
              <w:rPr>
                <w:b/>
                <w:bCs/>
                <w:sz w:val="18"/>
                <w:szCs w:val="18"/>
              </w:rPr>
              <w:t>Method</w:t>
            </w:r>
            <w:proofErr w:type="spellEnd"/>
            <w:r w:rsidRPr="00322343">
              <w:rPr>
                <w:b/>
                <w:bCs/>
                <w:sz w:val="18"/>
                <w:szCs w:val="18"/>
              </w:rPr>
              <w:t xml:space="preserve">** </w:t>
            </w:r>
          </w:p>
        </w:tc>
        <w:tc>
          <w:tcPr>
            <w:tcW w:w="2409"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 xml:space="preserve">Food Composition Database*** </w:t>
            </w:r>
            <w:r w:rsidR="001E6C97" w:rsidRPr="00322343">
              <w:rPr>
                <w:b/>
                <w:bCs/>
                <w:sz w:val="18"/>
                <w:szCs w:val="18"/>
                <w:lang w:val="en-US"/>
              </w:rPr>
              <w:t xml:space="preserve"> </w:t>
            </w:r>
            <w:r w:rsidR="001E6C97" w:rsidRPr="00322343">
              <w:rPr>
                <w:b/>
                <w:snapToGrid w:val="0"/>
                <w:sz w:val="18"/>
                <w:szCs w:val="18"/>
                <w:lang w:val="en-GB"/>
              </w:rPr>
              <w:t xml:space="preserve"> </w:t>
            </w:r>
            <w:r w:rsidRPr="00322343">
              <w:rPr>
                <w:b/>
                <w:snapToGrid w:val="0"/>
                <w:sz w:val="18"/>
                <w:szCs w:val="18"/>
                <w:lang w:val="en-GB"/>
              </w:rPr>
              <w:t>Definition of relevant nutrient ****</w:t>
            </w:r>
          </w:p>
        </w:tc>
        <w:tc>
          <w:tcPr>
            <w:tcW w:w="1276"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Internal Calibration (or Validity) of Dietary Assessment? (</w:t>
            </w:r>
            <w:proofErr w:type="gramStart"/>
            <w:r w:rsidRPr="00322343">
              <w:rPr>
                <w:bCs/>
                <w:sz w:val="18"/>
                <w:szCs w:val="18"/>
                <w:lang w:val="en-US"/>
              </w:rPr>
              <w:t>y/n</w:t>
            </w:r>
            <w:proofErr w:type="gramEnd"/>
            <w:r w:rsidRPr="00322343">
              <w:rPr>
                <w:b/>
                <w:bCs/>
                <w:sz w:val="18"/>
                <w:szCs w:val="18"/>
                <w:lang w:val="en-US"/>
              </w:rPr>
              <w:t xml:space="preserve">). If Yes, Provide Data </w:t>
            </w:r>
          </w:p>
        </w:tc>
        <w:tc>
          <w:tcPr>
            <w:tcW w:w="2410"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 xml:space="preserve">Biomarker Assay***** </w:t>
            </w:r>
          </w:p>
        </w:tc>
        <w:tc>
          <w:tcPr>
            <w:tcW w:w="850"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Analytical Validity of Biomarker Data Reported? (</w:t>
            </w:r>
            <w:proofErr w:type="gramStart"/>
            <w:r w:rsidRPr="00322343">
              <w:rPr>
                <w:bCs/>
                <w:sz w:val="18"/>
                <w:szCs w:val="18"/>
                <w:lang w:val="en-US"/>
              </w:rPr>
              <w:t>y/n</w:t>
            </w:r>
            <w:proofErr w:type="gramEnd"/>
            <w:r w:rsidRPr="00322343">
              <w:rPr>
                <w:b/>
                <w:bCs/>
                <w:sz w:val="18"/>
                <w:szCs w:val="18"/>
                <w:lang w:val="en-US"/>
              </w:rPr>
              <w:t xml:space="preserve">).  </w:t>
            </w:r>
            <w:r w:rsidR="001E6C97" w:rsidRPr="00322343">
              <w:rPr>
                <w:b/>
                <w:bCs/>
                <w:sz w:val="18"/>
                <w:szCs w:val="18"/>
                <w:lang w:val="en-US"/>
              </w:rPr>
              <w:t xml:space="preserve"> </w:t>
            </w:r>
            <w:r w:rsidRPr="00322343">
              <w:rPr>
                <w:b/>
                <w:bCs/>
                <w:sz w:val="18"/>
                <w:szCs w:val="18"/>
                <w:lang w:val="en-US"/>
              </w:rPr>
              <w:t xml:space="preserve">If Yes, Provide Data </w:t>
            </w:r>
          </w:p>
        </w:tc>
        <w:tc>
          <w:tcPr>
            <w:tcW w:w="851"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 xml:space="preserve">Time between Biomarker Sampling and Analysis </w:t>
            </w:r>
          </w:p>
        </w:tc>
        <w:tc>
          <w:tcPr>
            <w:tcW w:w="850"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 xml:space="preserve">Season/Date when biomarker samples were drawn </w:t>
            </w:r>
          </w:p>
        </w:tc>
        <w:tc>
          <w:tcPr>
            <w:tcW w:w="725" w:type="dxa"/>
            <w:tcBorders>
              <w:top w:val="single" w:sz="8" w:space="0" w:color="000000"/>
              <w:left w:val="single" w:sz="8" w:space="0" w:color="000000"/>
              <w:bottom w:val="single" w:sz="8" w:space="0" w:color="000000"/>
              <w:right w:val="single" w:sz="8" w:space="0" w:color="000000"/>
            </w:tcBorders>
          </w:tcPr>
          <w:p w:rsidR="008E5C89" w:rsidRPr="00322343" w:rsidRDefault="008E5C89" w:rsidP="001A40F6">
            <w:pPr>
              <w:autoSpaceDE w:val="0"/>
              <w:autoSpaceDN w:val="0"/>
              <w:adjustRightInd w:val="0"/>
              <w:rPr>
                <w:sz w:val="18"/>
                <w:szCs w:val="18"/>
                <w:lang w:val="en-US"/>
              </w:rPr>
            </w:pPr>
            <w:r w:rsidRPr="00322343">
              <w:rPr>
                <w:b/>
                <w:bCs/>
                <w:sz w:val="18"/>
                <w:szCs w:val="18"/>
                <w:lang w:val="en-US"/>
              </w:rPr>
              <w:t xml:space="preserve">Background exposure data </w:t>
            </w:r>
          </w:p>
        </w:tc>
      </w:tr>
      <w:tr w:rsidR="003E2A2F" w:rsidRPr="00322343" w:rsidTr="00772979">
        <w:tc>
          <w:tcPr>
            <w:tcW w:w="992" w:type="dxa"/>
            <w:tcBorders>
              <w:top w:val="single" w:sz="8" w:space="0" w:color="000000"/>
              <w:left w:val="single" w:sz="8" w:space="0" w:color="000000"/>
              <w:bottom w:val="single" w:sz="8" w:space="0" w:color="000000"/>
              <w:right w:val="single" w:sz="8" w:space="0" w:color="000000"/>
            </w:tcBorders>
          </w:tcPr>
          <w:p w:rsidR="003904D4" w:rsidRDefault="003E2A2F" w:rsidP="003904D4">
            <w:pPr>
              <w:pStyle w:val="Default"/>
              <w:spacing w:before="60"/>
              <w:rPr>
                <w:snapToGrid w:val="0"/>
                <w:sz w:val="18"/>
                <w:szCs w:val="18"/>
                <w:lang w:val="en-GB"/>
              </w:rPr>
            </w:pPr>
            <w:r w:rsidRPr="00322343">
              <w:rPr>
                <w:snapToGrid w:val="0"/>
                <w:sz w:val="18"/>
                <w:szCs w:val="18"/>
                <w:lang w:val="en-GB"/>
              </w:rPr>
              <w:t xml:space="preserve">Morgan, 2004, </w:t>
            </w:r>
          </w:p>
          <w:p w:rsidR="003E2A2F" w:rsidRPr="00322343" w:rsidRDefault="003904D4" w:rsidP="003904D4">
            <w:pPr>
              <w:pStyle w:val="Default"/>
              <w:spacing w:before="60"/>
              <w:rPr>
                <w:snapToGrid w:val="0"/>
                <w:sz w:val="18"/>
                <w:szCs w:val="18"/>
                <w:lang w:val="en-GB"/>
              </w:rPr>
            </w:pPr>
            <w:r>
              <w:rPr>
                <w:snapToGrid w:val="0"/>
                <w:sz w:val="18"/>
                <w:szCs w:val="18"/>
                <w:lang w:val="en-GB"/>
              </w:rPr>
              <w:t>(37)</w:t>
            </w:r>
          </w:p>
        </w:tc>
        <w:tc>
          <w:tcPr>
            <w:tcW w:w="1810"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rPr>
                <w:bCs/>
                <w:color w:val="000000"/>
                <w:sz w:val="18"/>
                <w:szCs w:val="18"/>
                <w:lang w:val="en-US"/>
              </w:rPr>
            </w:pPr>
            <w:r w:rsidRPr="00322343">
              <w:rPr>
                <w:rFonts w:eastAsiaTheme="minorHAnsi"/>
                <w:sz w:val="18"/>
                <w:szCs w:val="18"/>
                <w:lang w:val="en-US" w:eastAsia="en-US"/>
              </w:rPr>
              <w:t>Total red and white meat intake (g) from 4–12 months. The period of breastfeeding and the age at which infant formula milk, cows’ milk and solid foods were introduced.  Daily intakes of other macro and micro nutrients were also calculated.</w:t>
            </w:r>
          </w:p>
        </w:tc>
        <w:tc>
          <w:tcPr>
            <w:tcW w:w="1701"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rPr>
                <w:rFonts w:eastAsiaTheme="minorHAnsi"/>
                <w:sz w:val="18"/>
                <w:szCs w:val="18"/>
                <w:lang w:val="en-US" w:eastAsia="en-US"/>
              </w:rPr>
            </w:pPr>
            <w:r w:rsidRPr="00322343">
              <w:rPr>
                <w:rFonts w:eastAsiaTheme="minorHAnsi"/>
                <w:sz w:val="18"/>
                <w:szCs w:val="18"/>
                <w:lang w:val="en-US" w:eastAsia="en-US"/>
              </w:rPr>
              <w:t>Seven-day weighed food intake diaries were recorded. To ensure consistency in data recording among the families, dietary scales (</w:t>
            </w:r>
            <w:proofErr w:type="spellStart"/>
            <w:r w:rsidRPr="00322343">
              <w:rPr>
                <w:rFonts w:eastAsiaTheme="minorHAnsi"/>
                <w:sz w:val="18"/>
                <w:szCs w:val="18"/>
                <w:lang w:val="en-US" w:eastAsia="en-US"/>
              </w:rPr>
              <w:t>Selectronic</w:t>
            </w:r>
            <w:proofErr w:type="spellEnd"/>
            <w:r w:rsidRPr="00322343">
              <w:rPr>
                <w:rFonts w:eastAsiaTheme="minorHAnsi"/>
                <w:sz w:val="18"/>
                <w:szCs w:val="18"/>
                <w:lang w:val="en-US" w:eastAsia="en-US"/>
              </w:rPr>
              <w:t xml:space="preserve"> 2200 scales; Salter Housewares Ltd, </w:t>
            </w:r>
            <w:proofErr w:type="spellStart"/>
            <w:r w:rsidRPr="00322343">
              <w:rPr>
                <w:rFonts w:eastAsiaTheme="minorHAnsi"/>
                <w:sz w:val="18"/>
                <w:szCs w:val="18"/>
                <w:lang w:val="en-US" w:eastAsia="en-US"/>
              </w:rPr>
              <w:t>Tonbridge</w:t>
            </w:r>
            <w:proofErr w:type="spellEnd"/>
            <w:r w:rsidRPr="00322343">
              <w:rPr>
                <w:rFonts w:eastAsiaTheme="minorHAnsi"/>
                <w:sz w:val="18"/>
                <w:szCs w:val="18"/>
                <w:lang w:val="en-US" w:eastAsia="en-US"/>
              </w:rPr>
              <w:t>, Kent, UK), capacity 2 g–2 kg, and blank diet diaries were provided for this purpose.</w:t>
            </w:r>
          </w:p>
        </w:tc>
        <w:tc>
          <w:tcPr>
            <w:tcW w:w="2409"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spacing w:before="60"/>
              <w:rPr>
                <w:bCs/>
                <w:color w:val="000000"/>
                <w:sz w:val="18"/>
                <w:szCs w:val="18"/>
                <w:lang w:val="en-US"/>
              </w:rPr>
            </w:pPr>
            <w:r w:rsidRPr="00322343">
              <w:rPr>
                <w:bCs/>
                <w:color w:val="000000"/>
                <w:sz w:val="18"/>
                <w:szCs w:val="18"/>
                <w:lang w:val="en-US"/>
              </w:rPr>
              <w:t>Not reported</w:t>
            </w:r>
          </w:p>
        </w:tc>
        <w:tc>
          <w:tcPr>
            <w:tcW w:w="1276"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AA0D75">
              <w:rPr>
                <w:bCs/>
                <w:color w:val="000000"/>
                <w:sz w:val="18"/>
                <w:szCs w:val="18"/>
                <w:lang w:val="en-US"/>
              </w:rPr>
              <w:t>nd</w:t>
            </w:r>
            <w:proofErr w:type="spellEnd"/>
          </w:p>
        </w:tc>
        <w:tc>
          <w:tcPr>
            <w:tcW w:w="2410"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spacing w:before="60"/>
              <w:rPr>
                <w:bCs/>
                <w:color w:val="000000"/>
                <w:sz w:val="18"/>
                <w:szCs w:val="18"/>
                <w:lang w:val="en-US"/>
              </w:rPr>
            </w:pPr>
            <w:proofErr w:type="spellStart"/>
            <w:r>
              <w:rPr>
                <w:bCs/>
                <w:color w:val="000000"/>
                <w:sz w:val="18"/>
                <w:szCs w:val="18"/>
                <w:lang w:val="en-US"/>
              </w:rPr>
              <w:t>nd</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725"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r>
      <w:tr w:rsidR="003E2A2F" w:rsidRPr="00322343" w:rsidTr="00772979">
        <w:tc>
          <w:tcPr>
            <w:tcW w:w="992" w:type="dxa"/>
            <w:tcBorders>
              <w:top w:val="single" w:sz="8" w:space="0" w:color="000000"/>
              <w:left w:val="single" w:sz="8" w:space="0" w:color="000000"/>
              <w:bottom w:val="single" w:sz="8" w:space="0" w:color="000000"/>
              <w:right w:val="single" w:sz="8" w:space="0" w:color="000000"/>
            </w:tcBorders>
          </w:tcPr>
          <w:p w:rsidR="003E2A2F" w:rsidRDefault="003E2A2F" w:rsidP="003904D4">
            <w:pPr>
              <w:pStyle w:val="Default"/>
              <w:spacing w:before="60"/>
              <w:rPr>
                <w:snapToGrid w:val="0"/>
                <w:sz w:val="18"/>
                <w:szCs w:val="18"/>
                <w:lang w:val="en-GB"/>
              </w:rPr>
            </w:pPr>
            <w:r w:rsidRPr="00322343">
              <w:rPr>
                <w:snapToGrid w:val="0"/>
                <w:sz w:val="18"/>
                <w:szCs w:val="18"/>
                <w:lang w:val="en-GB"/>
              </w:rPr>
              <w:t>Rask-</w:t>
            </w:r>
            <w:proofErr w:type="spellStart"/>
            <w:r w:rsidRPr="00322343">
              <w:rPr>
                <w:snapToGrid w:val="0"/>
                <w:sz w:val="18"/>
                <w:szCs w:val="18"/>
                <w:lang w:val="en-GB"/>
              </w:rPr>
              <w:t>Nissilä</w:t>
            </w:r>
            <w:proofErr w:type="spellEnd"/>
            <w:r w:rsidRPr="00322343">
              <w:rPr>
                <w:snapToGrid w:val="0"/>
                <w:sz w:val="18"/>
                <w:szCs w:val="18"/>
                <w:lang w:val="en-GB"/>
              </w:rPr>
              <w:t xml:space="preserve">, 2002, </w:t>
            </w:r>
          </w:p>
          <w:p w:rsidR="003904D4" w:rsidRPr="00322343" w:rsidRDefault="003904D4" w:rsidP="003904D4">
            <w:pPr>
              <w:pStyle w:val="Default"/>
              <w:spacing w:before="60"/>
              <w:rPr>
                <w:snapToGrid w:val="0"/>
                <w:sz w:val="18"/>
                <w:szCs w:val="18"/>
                <w:lang w:val="en-GB"/>
              </w:rPr>
            </w:pPr>
            <w:r>
              <w:rPr>
                <w:snapToGrid w:val="0"/>
                <w:sz w:val="18"/>
                <w:szCs w:val="18"/>
                <w:lang w:val="en-GB"/>
              </w:rPr>
              <w:t>(59)</w:t>
            </w:r>
            <w:bookmarkStart w:id="0" w:name="_GoBack"/>
            <w:bookmarkEnd w:id="0"/>
          </w:p>
        </w:tc>
        <w:tc>
          <w:tcPr>
            <w:tcW w:w="1810"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rPr>
                <w:rFonts w:eastAsiaTheme="minorHAnsi"/>
                <w:color w:val="000000"/>
                <w:sz w:val="18"/>
                <w:szCs w:val="18"/>
                <w:lang w:val="en-US" w:eastAsia="en-US"/>
              </w:rPr>
            </w:pPr>
            <w:r w:rsidRPr="00322343">
              <w:rPr>
                <w:rFonts w:eastAsiaTheme="minorHAnsi"/>
                <w:color w:val="292526"/>
                <w:sz w:val="18"/>
                <w:szCs w:val="18"/>
                <w:lang w:val="en-US" w:eastAsia="en-US"/>
              </w:rPr>
              <w:t>dietary intake data (energy [kcal]; fat [E%]; saturated, monounsaturated, and polyunsaturated fatty acids [E%]; protein [E%]; and cholesterol [mg/d]) and serum cholesterol concentrations</w:t>
            </w:r>
          </w:p>
        </w:tc>
        <w:tc>
          <w:tcPr>
            <w:tcW w:w="1701"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spacing w:before="60"/>
              <w:rPr>
                <w:bCs/>
                <w:color w:val="000000"/>
                <w:sz w:val="18"/>
                <w:szCs w:val="18"/>
                <w:lang w:val="en-US"/>
              </w:rPr>
            </w:pPr>
            <w:r w:rsidRPr="00322343">
              <w:rPr>
                <w:bCs/>
                <w:color w:val="000000"/>
                <w:sz w:val="18"/>
                <w:szCs w:val="18"/>
                <w:lang w:val="en-US"/>
              </w:rPr>
              <w:t>3- and 4- day food records</w:t>
            </w:r>
          </w:p>
        </w:tc>
        <w:tc>
          <w:tcPr>
            <w:tcW w:w="2409"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spacing w:before="60"/>
              <w:rPr>
                <w:bCs/>
                <w:color w:val="000000"/>
                <w:sz w:val="18"/>
                <w:szCs w:val="18"/>
                <w:lang w:val="en-US"/>
              </w:rPr>
            </w:pPr>
            <w:r w:rsidRPr="00322343">
              <w:rPr>
                <w:bCs/>
                <w:color w:val="000000"/>
                <w:sz w:val="18"/>
                <w:szCs w:val="18"/>
                <w:lang w:val="en-US"/>
              </w:rPr>
              <w:t xml:space="preserve">Not reported in this article, but form references: </w:t>
            </w:r>
            <w:r w:rsidRPr="00322343">
              <w:rPr>
                <w:sz w:val="18"/>
                <w:szCs w:val="18"/>
                <w:lang w:val="en-US"/>
              </w:rPr>
              <w:t xml:space="preserve">The data were transferred from the food diaries to a computer and nutrient compositions were </w:t>
            </w:r>
            <w:proofErr w:type="spellStart"/>
            <w:r w:rsidRPr="00322343">
              <w:rPr>
                <w:sz w:val="18"/>
                <w:szCs w:val="18"/>
                <w:lang w:val="en-US"/>
              </w:rPr>
              <w:t>analysed</w:t>
            </w:r>
            <w:proofErr w:type="spellEnd"/>
            <w:r w:rsidRPr="00322343">
              <w:rPr>
                <w:sz w:val="18"/>
                <w:szCs w:val="18"/>
                <w:lang w:val="en-US"/>
              </w:rPr>
              <w:t xml:space="preserve"> by a program that calculates more than 60 nutrients in more than 500 of the most commonly consumed foods in Finland, including baby formulas and commercial baby foods (Social Insurance Institution, Turku). </w:t>
            </w:r>
          </w:p>
        </w:tc>
        <w:tc>
          <w:tcPr>
            <w:tcW w:w="1276"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AA0D75">
              <w:rPr>
                <w:bCs/>
                <w:color w:val="000000"/>
                <w:sz w:val="18"/>
                <w:szCs w:val="18"/>
                <w:lang w:val="en-US"/>
              </w:rPr>
              <w:t>nd</w:t>
            </w:r>
            <w:proofErr w:type="spellEnd"/>
          </w:p>
        </w:tc>
        <w:tc>
          <w:tcPr>
            <w:tcW w:w="2410" w:type="dxa"/>
            <w:tcBorders>
              <w:top w:val="single" w:sz="8" w:space="0" w:color="000000"/>
              <w:left w:val="single" w:sz="8" w:space="0" w:color="000000"/>
              <w:bottom w:val="single" w:sz="8" w:space="0" w:color="000000"/>
              <w:right w:val="single" w:sz="8" w:space="0" w:color="000000"/>
            </w:tcBorders>
          </w:tcPr>
          <w:p w:rsidR="003E2A2F" w:rsidRPr="00322343" w:rsidRDefault="003E2A2F" w:rsidP="008E5C89">
            <w:pPr>
              <w:autoSpaceDE w:val="0"/>
              <w:autoSpaceDN w:val="0"/>
              <w:adjustRightInd w:val="0"/>
              <w:rPr>
                <w:rFonts w:eastAsiaTheme="minorHAnsi"/>
                <w:color w:val="000000"/>
                <w:sz w:val="18"/>
                <w:szCs w:val="18"/>
                <w:lang w:val="en-US" w:eastAsia="en-US"/>
              </w:rPr>
            </w:pPr>
            <w:r w:rsidRPr="00322343">
              <w:rPr>
                <w:rFonts w:eastAsiaTheme="minorHAnsi"/>
                <w:color w:val="292526"/>
                <w:sz w:val="18"/>
                <w:szCs w:val="18"/>
                <w:lang w:val="en-US" w:eastAsia="en-US"/>
              </w:rPr>
              <w:t xml:space="preserve">Reported in detail in references, but </w:t>
            </w:r>
            <w:proofErr w:type="spellStart"/>
            <w:r w:rsidRPr="00322343">
              <w:rPr>
                <w:rFonts w:eastAsiaTheme="minorHAnsi"/>
                <w:color w:val="292526"/>
                <w:sz w:val="18"/>
                <w:szCs w:val="18"/>
                <w:lang w:val="en-US" w:eastAsia="en-US"/>
              </w:rPr>
              <w:t>nonfasting</w:t>
            </w:r>
            <w:proofErr w:type="spellEnd"/>
            <w:r w:rsidRPr="00322343">
              <w:rPr>
                <w:rFonts w:eastAsiaTheme="minorHAnsi"/>
                <w:color w:val="292526"/>
                <w:sz w:val="18"/>
                <w:szCs w:val="18"/>
                <w:lang w:val="en-US" w:eastAsia="en-US"/>
              </w:rPr>
              <w:t xml:space="preserve"> blood samples were drawn for measurement of serum cholesterol before the age of 5 years. In 5- year-old children, blood samples were drawn during fasting. </w:t>
            </w:r>
            <w:proofErr w:type="spellStart"/>
            <w:r w:rsidRPr="00322343">
              <w:rPr>
                <w:rFonts w:eastAsiaTheme="minorHAnsi"/>
                <w:color w:val="292526"/>
                <w:sz w:val="18"/>
                <w:szCs w:val="18"/>
                <w:lang w:val="en-US" w:eastAsia="en-US"/>
              </w:rPr>
              <w:t>ApoE</w:t>
            </w:r>
            <w:proofErr w:type="spellEnd"/>
            <w:r w:rsidRPr="00322343">
              <w:rPr>
                <w:rFonts w:eastAsiaTheme="minorHAnsi"/>
                <w:color w:val="292526"/>
                <w:sz w:val="18"/>
                <w:szCs w:val="18"/>
                <w:lang w:val="en-US" w:eastAsia="en-US"/>
              </w:rPr>
              <w:t xml:space="preserve"> phenotype was determined by means of isoelectric focusing. Analyses were done in the laboratory of the Research and Development Centre of the Social Insurance Institution in Turku, Finland.</w:t>
            </w:r>
          </w:p>
        </w:tc>
        <w:tc>
          <w:tcPr>
            <w:tcW w:w="850"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851"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850"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c>
          <w:tcPr>
            <w:tcW w:w="725" w:type="dxa"/>
            <w:tcBorders>
              <w:top w:val="single" w:sz="8" w:space="0" w:color="000000"/>
              <w:left w:val="single" w:sz="8" w:space="0" w:color="000000"/>
              <w:bottom w:val="single" w:sz="8" w:space="0" w:color="000000"/>
              <w:right w:val="single" w:sz="8" w:space="0" w:color="000000"/>
            </w:tcBorders>
          </w:tcPr>
          <w:p w:rsidR="003E2A2F" w:rsidRDefault="003E2A2F">
            <w:proofErr w:type="spellStart"/>
            <w:r w:rsidRPr="008540A3">
              <w:rPr>
                <w:bCs/>
                <w:color w:val="000000"/>
                <w:sz w:val="18"/>
                <w:szCs w:val="18"/>
                <w:lang w:val="en-US"/>
              </w:rPr>
              <w:t>nd</w:t>
            </w:r>
            <w:proofErr w:type="spellEnd"/>
          </w:p>
        </w:tc>
      </w:tr>
    </w:tbl>
    <w:p w:rsidR="00F635C8" w:rsidRPr="00322343" w:rsidRDefault="001E6C97" w:rsidP="00EA14CD">
      <w:pPr>
        <w:pStyle w:val="Default"/>
        <w:ind w:left="-709"/>
        <w:rPr>
          <w:color w:val="auto"/>
          <w:sz w:val="18"/>
          <w:szCs w:val="18"/>
          <w:lang w:val="en-US"/>
        </w:rPr>
      </w:pPr>
      <w:r w:rsidRPr="00322343">
        <w:rPr>
          <w:b/>
          <w:snapToGrid w:val="0"/>
          <w:sz w:val="18"/>
          <w:szCs w:val="18"/>
          <w:lang w:val="en-GB"/>
        </w:rPr>
        <w:lastRenderedPageBreak/>
        <w:t xml:space="preserve"> </w:t>
      </w:r>
      <w:r w:rsidR="00197533" w:rsidRPr="00322343">
        <w:rPr>
          <w:sz w:val="18"/>
          <w:szCs w:val="18"/>
          <w:lang w:val="en-US"/>
        </w:rPr>
        <w:t>* Write “</w:t>
      </w:r>
      <w:proofErr w:type="spellStart"/>
      <w:r w:rsidR="00197533" w:rsidRPr="00322343">
        <w:rPr>
          <w:sz w:val="18"/>
          <w:szCs w:val="18"/>
          <w:lang w:val="en-US"/>
        </w:rPr>
        <w:t>nd</w:t>
      </w:r>
      <w:proofErr w:type="spellEnd"/>
      <w:r w:rsidR="00197533" w:rsidRPr="00322343">
        <w:rPr>
          <w:sz w:val="18"/>
          <w:szCs w:val="18"/>
          <w:lang w:val="en-US"/>
        </w:rPr>
        <w:t xml:space="preserve">” if there was no data reported. Please do not leave </w:t>
      </w:r>
      <w:proofErr w:type="gramStart"/>
      <w:r w:rsidR="00197533" w:rsidRPr="00322343">
        <w:rPr>
          <w:sz w:val="18"/>
          <w:szCs w:val="18"/>
          <w:lang w:val="en-US"/>
        </w:rPr>
        <w:t xml:space="preserve">blank </w:t>
      </w:r>
      <w:r w:rsidRPr="00322343">
        <w:rPr>
          <w:sz w:val="18"/>
          <w:szCs w:val="18"/>
          <w:lang w:val="en-US"/>
        </w:rPr>
        <w:t xml:space="preserve"> </w:t>
      </w:r>
      <w:r w:rsidR="00197533" w:rsidRPr="00322343">
        <w:rPr>
          <w:sz w:val="18"/>
          <w:szCs w:val="18"/>
          <w:lang w:val="en-US"/>
        </w:rPr>
        <w:t>*</w:t>
      </w:r>
      <w:proofErr w:type="gramEnd"/>
      <w:r w:rsidR="00197533" w:rsidRPr="00322343">
        <w:rPr>
          <w:sz w:val="18"/>
          <w:szCs w:val="18"/>
          <w:lang w:val="en-US"/>
        </w:rPr>
        <w:t>*Please refer to brief name indicated in dietary assessment method table. If other method was used, please describe the detail.</w:t>
      </w:r>
      <w:r w:rsidRPr="00322343">
        <w:rPr>
          <w:sz w:val="18"/>
          <w:szCs w:val="18"/>
          <w:lang w:val="en-US"/>
        </w:rPr>
        <w:t xml:space="preserve"> </w:t>
      </w:r>
      <w:r w:rsidR="00197533" w:rsidRPr="00322343">
        <w:rPr>
          <w:sz w:val="18"/>
          <w:szCs w:val="18"/>
          <w:lang w:val="en-US"/>
        </w:rPr>
        <w:t>*** Specify database used to calculate nutrient intakes. Other nutrient analysis, please specify.</w:t>
      </w:r>
      <w:r w:rsidRPr="00322343">
        <w:rPr>
          <w:sz w:val="18"/>
          <w:szCs w:val="18"/>
          <w:lang w:val="en-US"/>
        </w:rPr>
        <w:t xml:space="preserve"> </w:t>
      </w:r>
      <w:r w:rsidR="00197533" w:rsidRPr="00322343">
        <w:rPr>
          <w:snapToGrid w:val="0"/>
          <w:sz w:val="18"/>
          <w:szCs w:val="18"/>
          <w:lang w:val="en-US"/>
        </w:rPr>
        <w:t>****</w:t>
      </w:r>
      <w:proofErr w:type="spellStart"/>
      <w:r w:rsidR="00197533" w:rsidRPr="00322343">
        <w:rPr>
          <w:snapToGrid w:val="0"/>
          <w:sz w:val="18"/>
          <w:szCs w:val="18"/>
          <w:lang w:val="en-GB"/>
        </w:rPr>
        <w:t>Eg</w:t>
      </w:r>
      <w:proofErr w:type="spellEnd"/>
      <w:r w:rsidR="00197533" w:rsidRPr="00322343">
        <w:rPr>
          <w:snapToGrid w:val="0"/>
          <w:sz w:val="18"/>
          <w:szCs w:val="18"/>
          <w:lang w:val="en-GB"/>
        </w:rPr>
        <w:t xml:space="preserve">. </w:t>
      </w:r>
      <w:proofErr w:type="gramStart"/>
      <w:r w:rsidR="00197533" w:rsidRPr="00322343">
        <w:rPr>
          <w:snapToGrid w:val="0"/>
          <w:sz w:val="18"/>
          <w:szCs w:val="18"/>
          <w:lang w:val="en-GB"/>
        </w:rPr>
        <w:t>are</w:t>
      </w:r>
      <w:proofErr w:type="gramEnd"/>
      <w:r w:rsidR="00197533" w:rsidRPr="00322343">
        <w:rPr>
          <w:snapToGrid w:val="0"/>
          <w:sz w:val="18"/>
          <w:szCs w:val="18"/>
          <w:lang w:val="en-GB"/>
        </w:rPr>
        <w:t xml:space="preserve"> carbohydrates expressed as available carbohydrates or carbohydrates by difference, is fibre included in the carbohydrates or not, retinol equivalent or retinol activity etc. </w:t>
      </w:r>
      <w:proofErr w:type="gramStart"/>
      <w:r w:rsidR="00197533" w:rsidRPr="00322343">
        <w:rPr>
          <w:snapToGrid w:val="0"/>
          <w:sz w:val="18"/>
          <w:szCs w:val="18"/>
          <w:lang w:val="en-GB"/>
        </w:rPr>
        <w:t>Chemical form of the nutrient.</w:t>
      </w:r>
      <w:proofErr w:type="gramEnd"/>
      <w:r w:rsidRPr="00322343">
        <w:rPr>
          <w:snapToGrid w:val="0"/>
          <w:sz w:val="18"/>
          <w:szCs w:val="18"/>
          <w:lang w:val="en-GB"/>
        </w:rPr>
        <w:t xml:space="preserve"> </w:t>
      </w:r>
      <w:r w:rsidR="00197533" w:rsidRPr="00322343">
        <w:rPr>
          <w:color w:val="auto"/>
          <w:sz w:val="18"/>
          <w:szCs w:val="18"/>
          <w:lang w:val="en-US"/>
        </w:rPr>
        <w:t>*****ONLY biomarker of interest for outcome</w:t>
      </w:r>
      <w:r w:rsidRPr="00322343">
        <w:rPr>
          <w:color w:val="auto"/>
          <w:sz w:val="18"/>
          <w:szCs w:val="18"/>
          <w:lang w:val="en-US"/>
        </w:rPr>
        <w:t xml:space="preserve"> </w:t>
      </w:r>
    </w:p>
    <w:sectPr w:rsidR="00F635C8" w:rsidRPr="00322343" w:rsidSect="00322343">
      <w:footerReference w:type="default" r:id="rId9"/>
      <w:pgSz w:w="16838" w:h="11906" w:orient="landscape"/>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AB" w:rsidRDefault="009D1CAB" w:rsidP="006B3075">
      <w:r>
        <w:separator/>
      </w:r>
    </w:p>
  </w:endnote>
  <w:endnote w:type="continuationSeparator" w:id="0">
    <w:p w:rsidR="009D1CAB" w:rsidRDefault="009D1CAB" w:rsidP="006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76" w:rsidRDefault="009D1CAB">
    <w:pPr>
      <w:pStyle w:val="Sidfot"/>
    </w:pPr>
    <w:sdt>
      <w:sdtPr>
        <w:id w:val="14334314"/>
        <w:docPartObj>
          <w:docPartGallery w:val="Page Numbers (Bottom of Page)"/>
          <w:docPartUnique/>
        </w:docPartObj>
      </w:sdtPr>
      <w:sdtEndPr>
        <w:rPr>
          <w:rFonts w:asciiTheme="minorHAnsi" w:hAnsiTheme="minorHAnsi"/>
          <w:sz w:val="22"/>
          <w:szCs w:val="22"/>
        </w:rPr>
      </w:sdtEndPr>
      <w:sdtContent>
        <w:r w:rsidR="008F6676" w:rsidRPr="007E231C">
          <w:rPr>
            <w:rFonts w:asciiTheme="minorHAnsi" w:hAnsiTheme="minorHAnsi"/>
            <w:sz w:val="22"/>
            <w:szCs w:val="22"/>
          </w:rPr>
          <w:fldChar w:fldCharType="begin"/>
        </w:r>
        <w:r w:rsidR="008F6676" w:rsidRPr="007E231C">
          <w:rPr>
            <w:rFonts w:asciiTheme="minorHAnsi" w:hAnsiTheme="minorHAnsi"/>
            <w:sz w:val="22"/>
            <w:szCs w:val="22"/>
          </w:rPr>
          <w:instrText xml:space="preserve"> PAGE   \* MERGEFORMAT </w:instrText>
        </w:r>
        <w:r w:rsidR="008F6676" w:rsidRPr="007E231C">
          <w:rPr>
            <w:rFonts w:asciiTheme="minorHAnsi" w:hAnsiTheme="minorHAnsi"/>
            <w:sz w:val="22"/>
            <w:szCs w:val="22"/>
          </w:rPr>
          <w:fldChar w:fldCharType="separate"/>
        </w:r>
        <w:r w:rsidR="003904D4">
          <w:rPr>
            <w:rFonts w:asciiTheme="minorHAnsi" w:hAnsiTheme="minorHAnsi"/>
            <w:noProof/>
            <w:sz w:val="22"/>
            <w:szCs w:val="22"/>
          </w:rPr>
          <w:t>4</w:t>
        </w:r>
        <w:r w:rsidR="008F6676" w:rsidRPr="007E231C">
          <w:rPr>
            <w:rFonts w:asciiTheme="minorHAnsi" w:hAnsiTheme="minorHAnsi"/>
            <w:sz w:val="22"/>
            <w:szCs w:val="22"/>
          </w:rPr>
          <w:fldChar w:fldCharType="end"/>
        </w:r>
      </w:sdtContent>
    </w:sdt>
    <w:r w:rsidR="001E6C97">
      <w:rPr>
        <w:rFonts w:asciiTheme="minorHAnsi" w:hAnsiTheme="minorHAnsi"/>
        <w:sz w:val="22"/>
        <w:szCs w:val="22"/>
      </w:rPr>
      <w:t xml:space="preserve"> </w:t>
    </w:r>
    <w:r w:rsidR="001E6C9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AB" w:rsidRDefault="009D1CAB" w:rsidP="006B3075">
      <w:r>
        <w:separator/>
      </w:r>
    </w:p>
  </w:footnote>
  <w:footnote w:type="continuationSeparator" w:id="0">
    <w:p w:rsidR="009D1CAB" w:rsidRDefault="009D1CAB" w:rsidP="006B3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C9C"/>
    <w:multiLevelType w:val="hybridMultilevel"/>
    <w:tmpl w:val="2488BD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3E1D"/>
    <w:rsid w:val="00000BBB"/>
    <w:rsid w:val="00027677"/>
    <w:rsid w:val="00035B01"/>
    <w:rsid w:val="00045988"/>
    <w:rsid w:val="000521FF"/>
    <w:rsid w:val="000535AA"/>
    <w:rsid w:val="000600C3"/>
    <w:rsid w:val="000600CB"/>
    <w:rsid w:val="00062505"/>
    <w:rsid w:val="0006256B"/>
    <w:rsid w:val="0007512D"/>
    <w:rsid w:val="00090587"/>
    <w:rsid w:val="000A57D8"/>
    <w:rsid w:val="000A58BD"/>
    <w:rsid w:val="000A70D2"/>
    <w:rsid w:val="000B51CC"/>
    <w:rsid w:val="000D7660"/>
    <w:rsid w:val="000E1520"/>
    <w:rsid w:val="000E2D5E"/>
    <w:rsid w:val="000E404D"/>
    <w:rsid w:val="000F2E43"/>
    <w:rsid w:val="00107B22"/>
    <w:rsid w:val="001142C1"/>
    <w:rsid w:val="001170A8"/>
    <w:rsid w:val="001255AD"/>
    <w:rsid w:val="00136CC7"/>
    <w:rsid w:val="0014118A"/>
    <w:rsid w:val="001522CB"/>
    <w:rsid w:val="00153999"/>
    <w:rsid w:val="00163B71"/>
    <w:rsid w:val="001829C8"/>
    <w:rsid w:val="001911D4"/>
    <w:rsid w:val="00197533"/>
    <w:rsid w:val="001A40F6"/>
    <w:rsid w:val="001A6D1D"/>
    <w:rsid w:val="001B336B"/>
    <w:rsid w:val="001B5C5A"/>
    <w:rsid w:val="001D1ACD"/>
    <w:rsid w:val="001D2B22"/>
    <w:rsid w:val="001D693D"/>
    <w:rsid w:val="001E3EA4"/>
    <w:rsid w:val="001E6C97"/>
    <w:rsid w:val="001F41BB"/>
    <w:rsid w:val="001F7A4C"/>
    <w:rsid w:val="002017D2"/>
    <w:rsid w:val="00206379"/>
    <w:rsid w:val="00214F25"/>
    <w:rsid w:val="00222A62"/>
    <w:rsid w:val="0023373C"/>
    <w:rsid w:val="00235AE9"/>
    <w:rsid w:val="00243ED2"/>
    <w:rsid w:val="00246F9A"/>
    <w:rsid w:val="0025306B"/>
    <w:rsid w:val="00261D86"/>
    <w:rsid w:val="00272403"/>
    <w:rsid w:val="002878EF"/>
    <w:rsid w:val="00293F48"/>
    <w:rsid w:val="00294837"/>
    <w:rsid w:val="00295987"/>
    <w:rsid w:val="002A08FB"/>
    <w:rsid w:val="002A1C2D"/>
    <w:rsid w:val="002B3292"/>
    <w:rsid w:val="002B41DB"/>
    <w:rsid w:val="002C03AE"/>
    <w:rsid w:val="002D2E1E"/>
    <w:rsid w:val="002D7421"/>
    <w:rsid w:val="002E6BE8"/>
    <w:rsid w:val="00306D7A"/>
    <w:rsid w:val="00311713"/>
    <w:rsid w:val="00322343"/>
    <w:rsid w:val="003230FE"/>
    <w:rsid w:val="00336D3E"/>
    <w:rsid w:val="00343CF0"/>
    <w:rsid w:val="00354D44"/>
    <w:rsid w:val="00361A39"/>
    <w:rsid w:val="00362AA1"/>
    <w:rsid w:val="00363BD0"/>
    <w:rsid w:val="0037213F"/>
    <w:rsid w:val="0037617F"/>
    <w:rsid w:val="00376DB7"/>
    <w:rsid w:val="00382562"/>
    <w:rsid w:val="00384353"/>
    <w:rsid w:val="003904D4"/>
    <w:rsid w:val="003924AB"/>
    <w:rsid w:val="00396DB7"/>
    <w:rsid w:val="003A1A6B"/>
    <w:rsid w:val="003A2C8E"/>
    <w:rsid w:val="003B5998"/>
    <w:rsid w:val="003B665C"/>
    <w:rsid w:val="003C6C1B"/>
    <w:rsid w:val="003E0BE4"/>
    <w:rsid w:val="003E2A2F"/>
    <w:rsid w:val="003F5957"/>
    <w:rsid w:val="0040195A"/>
    <w:rsid w:val="00406D52"/>
    <w:rsid w:val="00410A43"/>
    <w:rsid w:val="00424CA8"/>
    <w:rsid w:val="00425F1E"/>
    <w:rsid w:val="0043620E"/>
    <w:rsid w:val="00436D42"/>
    <w:rsid w:val="0045256C"/>
    <w:rsid w:val="0046062E"/>
    <w:rsid w:val="00463835"/>
    <w:rsid w:val="00477F89"/>
    <w:rsid w:val="004818F5"/>
    <w:rsid w:val="004904DE"/>
    <w:rsid w:val="00490BB5"/>
    <w:rsid w:val="00494F59"/>
    <w:rsid w:val="00495F70"/>
    <w:rsid w:val="004A6EA6"/>
    <w:rsid w:val="004C5424"/>
    <w:rsid w:val="004E2C91"/>
    <w:rsid w:val="004E3B86"/>
    <w:rsid w:val="004F7936"/>
    <w:rsid w:val="00503547"/>
    <w:rsid w:val="00514D74"/>
    <w:rsid w:val="0052463C"/>
    <w:rsid w:val="0053091E"/>
    <w:rsid w:val="00531D03"/>
    <w:rsid w:val="00555289"/>
    <w:rsid w:val="00555D9A"/>
    <w:rsid w:val="005600A9"/>
    <w:rsid w:val="00560D32"/>
    <w:rsid w:val="005819AB"/>
    <w:rsid w:val="005832A2"/>
    <w:rsid w:val="00583E1D"/>
    <w:rsid w:val="00587CBB"/>
    <w:rsid w:val="00594ADC"/>
    <w:rsid w:val="005A0895"/>
    <w:rsid w:val="005A0D74"/>
    <w:rsid w:val="005A0DB5"/>
    <w:rsid w:val="005A429D"/>
    <w:rsid w:val="005B037A"/>
    <w:rsid w:val="005B3858"/>
    <w:rsid w:val="005D0A56"/>
    <w:rsid w:val="005D578A"/>
    <w:rsid w:val="005D5B21"/>
    <w:rsid w:val="005E571B"/>
    <w:rsid w:val="005F59D4"/>
    <w:rsid w:val="00604FED"/>
    <w:rsid w:val="00617CE2"/>
    <w:rsid w:val="00627691"/>
    <w:rsid w:val="006301B4"/>
    <w:rsid w:val="006346FC"/>
    <w:rsid w:val="00653617"/>
    <w:rsid w:val="00653AC4"/>
    <w:rsid w:val="006631C6"/>
    <w:rsid w:val="0066412A"/>
    <w:rsid w:val="00667026"/>
    <w:rsid w:val="00671095"/>
    <w:rsid w:val="006B1AF1"/>
    <w:rsid w:val="006B3075"/>
    <w:rsid w:val="006C180F"/>
    <w:rsid w:val="006D0846"/>
    <w:rsid w:val="006D1EC7"/>
    <w:rsid w:val="00715EB1"/>
    <w:rsid w:val="0072316F"/>
    <w:rsid w:val="00723C48"/>
    <w:rsid w:val="007269CC"/>
    <w:rsid w:val="007371C4"/>
    <w:rsid w:val="00740C52"/>
    <w:rsid w:val="00741072"/>
    <w:rsid w:val="00757225"/>
    <w:rsid w:val="0077292A"/>
    <w:rsid w:val="00772979"/>
    <w:rsid w:val="00773749"/>
    <w:rsid w:val="00776239"/>
    <w:rsid w:val="00777DC7"/>
    <w:rsid w:val="0078140E"/>
    <w:rsid w:val="007972AF"/>
    <w:rsid w:val="007A2218"/>
    <w:rsid w:val="007B31AF"/>
    <w:rsid w:val="007C0849"/>
    <w:rsid w:val="007C2223"/>
    <w:rsid w:val="007C2732"/>
    <w:rsid w:val="007D055E"/>
    <w:rsid w:val="007D0963"/>
    <w:rsid w:val="007D7F7A"/>
    <w:rsid w:val="007E0060"/>
    <w:rsid w:val="007E1A01"/>
    <w:rsid w:val="007E231C"/>
    <w:rsid w:val="007F17E2"/>
    <w:rsid w:val="007F1AF6"/>
    <w:rsid w:val="007F1B52"/>
    <w:rsid w:val="007F6F8E"/>
    <w:rsid w:val="00800854"/>
    <w:rsid w:val="008049D7"/>
    <w:rsid w:val="00807C30"/>
    <w:rsid w:val="00811675"/>
    <w:rsid w:val="00816879"/>
    <w:rsid w:val="00840FD6"/>
    <w:rsid w:val="00845552"/>
    <w:rsid w:val="0086154E"/>
    <w:rsid w:val="008621E2"/>
    <w:rsid w:val="00862BDA"/>
    <w:rsid w:val="00872CB2"/>
    <w:rsid w:val="0088423E"/>
    <w:rsid w:val="0089286F"/>
    <w:rsid w:val="00894D7A"/>
    <w:rsid w:val="008A30B4"/>
    <w:rsid w:val="008A51ED"/>
    <w:rsid w:val="008D2C55"/>
    <w:rsid w:val="008E5C89"/>
    <w:rsid w:val="008E7ED5"/>
    <w:rsid w:val="008F6676"/>
    <w:rsid w:val="009103E8"/>
    <w:rsid w:val="00917461"/>
    <w:rsid w:val="009341A4"/>
    <w:rsid w:val="00936890"/>
    <w:rsid w:val="009400C2"/>
    <w:rsid w:val="009439EA"/>
    <w:rsid w:val="00947B8E"/>
    <w:rsid w:val="00963138"/>
    <w:rsid w:val="009761DE"/>
    <w:rsid w:val="009942A6"/>
    <w:rsid w:val="009C14F7"/>
    <w:rsid w:val="009D1CAB"/>
    <w:rsid w:val="009D1E34"/>
    <w:rsid w:val="009E54BD"/>
    <w:rsid w:val="009F2DCF"/>
    <w:rsid w:val="009F3E03"/>
    <w:rsid w:val="00A04EE1"/>
    <w:rsid w:val="00A05001"/>
    <w:rsid w:val="00A050AA"/>
    <w:rsid w:val="00A07933"/>
    <w:rsid w:val="00A17E3A"/>
    <w:rsid w:val="00A24640"/>
    <w:rsid w:val="00A46E37"/>
    <w:rsid w:val="00A6324A"/>
    <w:rsid w:val="00A6348B"/>
    <w:rsid w:val="00A63796"/>
    <w:rsid w:val="00A64B79"/>
    <w:rsid w:val="00A64D0D"/>
    <w:rsid w:val="00A8396E"/>
    <w:rsid w:val="00A84AFB"/>
    <w:rsid w:val="00A86E4E"/>
    <w:rsid w:val="00A910CA"/>
    <w:rsid w:val="00A9300D"/>
    <w:rsid w:val="00A93CB2"/>
    <w:rsid w:val="00AA358B"/>
    <w:rsid w:val="00AB14C9"/>
    <w:rsid w:val="00AB7F5C"/>
    <w:rsid w:val="00AD312B"/>
    <w:rsid w:val="00AD3C5C"/>
    <w:rsid w:val="00AD6F6B"/>
    <w:rsid w:val="00AE2748"/>
    <w:rsid w:val="00AE5649"/>
    <w:rsid w:val="00AF0A96"/>
    <w:rsid w:val="00AF1FB3"/>
    <w:rsid w:val="00AF33F6"/>
    <w:rsid w:val="00AF5644"/>
    <w:rsid w:val="00AF6CB5"/>
    <w:rsid w:val="00B0332D"/>
    <w:rsid w:val="00B033C3"/>
    <w:rsid w:val="00B034AC"/>
    <w:rsid w:val="00B1358B"/>
    <w:rsid w:val="00B14114"/>
    <w:rsid w:val="00B17989"/>
    <w:rsid w:val="00B27FB4"/>
    <w:rsid w:val="00B3613E"/>
    <w:rsid w:val="00B37D1D"/>
    <w:rsid w:val="00B55346"/>
    <w:rsid w:val="00B612BA"/>
    <w:rsid w:val="00B64E9E"/>
    <w:rsid w:val="00B66076"/>
    <w:rsid w:val="00B702BA"/>
    <w:rsid w:val="00B979EB"/>
    <w:rsid w:val="00BA5201"/>
    <w:rsid w:val="00BB1C7F"/>
    <w:rsid w:val="00BB1F71"/>
    <w:rsid w:val="00BC44BF"/>
    <w:rsid w:val="00BD21F3"/>
    <w:rsid w:val="00BF1E84"/>
    <w:rsid w:val="00BF56F6"/>
    <w:rsid w:val="00BF7BBE"/>
    <w:rsid w:val="00C04E8C"/>
    <w:rsid w:val="00C04F20"/>
    <w:rsid w:val="00C10D94"/>
    <w:rsid w:val="00C12D41"/>
    <w:rsid w:val="00C23583"/>
    <w:rsid w:val="00C30A9B"/>
    <w:rsid w:val="00C33787"/>
    <w:rsid w:val="00C40261"/>
    <w:rsid w:val="00C40C81"/>
    <w:rsid w:val="00C4675D"/>
    <w:rsid w:val="00C516FB"/>
    <w:rsid w:val="00C55696"/>
    <w:rsid w:val="00C60876"/>
    <w:rsid w:val="00C67C8F"/>
    <w:rsid w:val="00C77F50"/>
    <w:rsid w:val="00C818F0"/>
    <w:rsid w:val="00C84CAD"/>
    <w:rsid w:val="00C93DB7"/>
    <w:rsid w:val="00C95784"/>
    <w:rsid w:val="00C97F2B"/>
    <w:rsid w:val="00CA2948"/>
    <w:rsid w:val="00CD0ADD"/>
    <w:rsid w:val="00CD619D"/>
    <w:rsid w:val="00CE0259"/>
    <w:rsid w:val="00CF2236"/>
    <w:rsid w:val="00CF6267"/>
    <w:rsid w:val="00D03F25"/>
    <w:rsid w:val="00D05D12"/>
    <w:rsid w:val="00D074A5"/>
    <w:rsid w:val="00D17202"/>
    <w:rsid w:val="00D21A8E"/>
    <w:rsid w:val="00D26F2E"/>
    <w:rsid w:val="00D30436"/>
    <w:rsid w:val="00D304DF"/>
    <w:rsid w:val="00D412A5"/>
    <w:rsid w:val="00D442FD"/>
    <w:rsid w:val="00D46088"/>
    <w:rsid w:val="00D50C5A"/>
    <w:rsid w:val="00D52157"/>
    <w:rsid w:val="00D56A7E"/>
    <w:rsid w:val="00D60E57"/>
    <w:rsid w:val="00D71496"/>
    <w:rsid w:val="00D7262A"/>
    <w:rsid w:val="00D7368D"/>
    <w:rsid w:val="00D74047"/>
    <w:rsid w:val="00D74311"/>
    <w:rsid w:val="00D77930"/>
    <w:rsid w:val="00D92628"/>
    <w:rsid w:val="00D97D3E"/>
    <w:rsid w:val="00DB4D8A"/>
    <w:rsid w:val="00DB5B85"/>
    <w:rsid w:val="00DB6E9E"/>
    <w:rsid w:val="00DB71AF"/>
    <w:rsid w:val="00DB7DC4"/>
    <w:rsid w:val="00DD0928"/>
    <w:rsid w:val="00DD25D5"/>
    <w:rsid w:val="00DD2CF3"/>
    <w:rsid w:val="00DD5C8F"/>
    <w:rsid w:val="00DD7922"/>
    <w:rsid w:val="00DE2D9E"/>
    <w:rsid w:val="00DF2D18"/>
    <w:rsid w:val="00DF4A56"/>
    <w:rsid w:val="00DF5245"/>
    <w:rsid w:val="00DF5D6B"/>
    <w:rsid w:val="00E00F7B"/>
    <w:rsid w:val="00E031F5"/>
    <w:rsid w:val="00E12DCF"/>
    <w:rsid w:val="00E21A59"/>
    <w:rsid w:val="00E24A50"/>
    <w:rsid w:val="00E41231"/>
    <w:rsid w:val="00E642C1"/>
    <w:rsid w:val="00E65A36"/>
    <w:rsid w:val="00E778A9"/>
    <w:rsid w:val="00E84B2A"/>
    <w:rsid w:val="00E97AD2"/>
    <w:rsid w:val="00EA14CD"/>
    <w:rsid w:val="00EA3902"/>
    <w:rsid w:val="00EA3F1C"/>
    <w:rsid w:val="00EB7651"/>
    <w:rsid w:val="00ED09A9"/>
    <w:rsid w:val="00F06DA9"/>
    <w:rsid w:val="00F242B2"/>
    <w:rsid w:val="00F26D74"/>
    <w:rsid w:val="00F26E6D"/>
    <w:rsid w:val="00F635C8"/>
    <w:rsid w:val="00F83FC7"/>
    <w:rsid w:val="00F83FE7"/>
    <w:rsid w:val="00F93B2A"/>
    <w:rsid w:val="00FB0CF7"/>
    <w:rsid w:val="00FB64C0"/>
    <w:rsid w:val="00FC6846"/>
    <w:rsid w:val="00FE313A"/>
    <w:rsid w:val="00FE5009"/>
    <w:rsid w:val="00FE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83E1D"/>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Sidhuvud">
    <w:name w:val="header"/>
    <w:basedOn w:val="Normal"/>
    <w:link w:val="SidhuvudChar"/>
    <w:uiPriority w:val="99"/>
    <w:unhideWhenUsed/>
    <w:rsid w:val="006B3075"/>
    <w:pPr>
      <w:tabs>
        <w:tab w:val="center" w:pos="4536"/>
        <w:tab w:val="right" w:pos="9072"/>
      </w:tabs>
    </w:pPr>
  </w:style>
  <w:style w:type="character" w:customStyle="1" w:styleId="SidhuvudChar">
    <w:name w:val="Sidhuvud Char"/>
    <w:basedOn w:val="Standardstycketeckensnitt"/>
    <w:link w:val="Sidhuvud"/>
    <w:uiPriority w:val="99"/>
    <w:rsid w:val="006B307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6B3075"/>
    <w:pPr>
      <w:tabs>
        <w:tab w:val="center" w:pos="4536"/>
        <w:tab w:val="right" w:pos="9072"/>
      </w:tabs>
    </w:pPr>
  </w:style>
  <w:style w:type="character" w:customStyle="1" w:styleId="SidfotChar">
    <w:name w:val="Sidfot Char"/>
    <w:basedOn w:val="Standardstycketeckensnitt"/>
    <w:link w:val="Sidfot"/>
    <w:uiPriority w:val="99"/>
    <w:rsid w:val="006B3075"/>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9"/>
    <w:rsid w:val="007F6F8E"/>
    <w:rPr>
      <w:rFonts w:ascii="Arial" w:eastAsia="Times New Roman" w:hAnsi="Arial" w:cs="Arial"/>
      <w:b/>
      <w:bCs/>
      <w:sz w:val="26"/>
      <w:szCs w:val="26"/>
      <w:lang w:eastAsia="sv-SE"/>
    </w:rPr>
  </w:style>
  <w:style w:type="paragraph" w:styleId="Ingetavstnd">
    <w:name w:val="No Spacing"/>
    <w:uiPriority w:val="1"/>
    <w:qFormat/>
    <w:rsid w:val="00272403"/>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0600C3"/>
    <w:rPr>
      <w:sz w:val="16"/>
      <w:szCs w:val="16"/>
    </w:rPr>
  </w:style>
  <w:style w:type="paragraph" w:styleId="Kommentarer">
    <w:name w:val="annotation text"/>
    <w:basedOn w:val="Normal"/>
    <w:link w:val="KommentarerChar"/>
    <w:uiPriority w:val="99"/>
    <w:semiHidden/>
    <w:unhideWhenUsed/>
    <w:rsid w:val="000600C3"/>
    <w:rPr>
      <w:sz w:val="20"/>
      <w:szCs w:val="20"/>
    </w:rPr>
  </w:style>
  <w:style w:type="character" w:customStyle="1" w:styleId="KommentarerChar">
    <w:name w:val="Kommentarer Char"/>
    <w:basedOn w:val="Standardstycketeckensnitt"/>
    <w:link w:val="Kommentarer"/>
    <w:uiPriority w:val="99"/>
    <w:semiHidden/>
    <w:rsid w:val="000600C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00C3"/>
    <w:rPr>
      <w:b/>
      <w:bCs/>
    </w:rPr>
  </w:style>
  <w:style w:type="character" w:customStyle="1" w:styleId="KommentarsmneChar">
    <w:name w:val="Kommentarsämne Char"/>
    <w:basedOn w:val="KommentarerChar"/>
    <w:link w:val="Kommentarsmne"/>
    <w:uiPriority w:val="99"/>
    <w:semiHidden/>
    <w:rsid w:val="000600C3"/>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0600C3"/>
    <w:rPr>
      <w:rFonts w:ascii="Tahoma" w:hAnsi="Tahoma" w:cs="Tahoma"/>
      <w:sz w:val="16"/>
      <w:szCs w:val="16"/>
    </w:rPr>
  </w:style>
  <w:style w:type="character" w:customStyle="1" w:styleId="BallongtextChar">
    <w:name w:val="Ballongtext Char"/>
    <w:basedOn w:val="Standardstycketeckensnitt"/>
    <w:link w:val="Ballongtext"/>
    <w:uiPriority w:val="99"/>
    <w:semiHidden/>
    <w:rsid w:val="000600C3"/>
    <w:rPr>
      <w:rFonts w:ascii="Tahoma" w:eastAsia="Times New Roman" w:hAnsi="Tahoma" w:cs="Tahoma"/>
      <w:sz w:val="16"/>
      <w:szCs w:val="16"/>
      <w:lang w:eastAsia="sv-SE"/>
    </w:rPr>
  </w:style>
  <w:style w:type="paragraph" w:styleId="Liststycke">
    <w:name w:val="List Paragraph"/>
    <w:basedOn w:val="Normal"/>
    <w:uiPriority w:val="34"/>
    <w:qFormat/>
    <w:rsid w:val="00D17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83E1D"/>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Sidhuvud">
    <w:name w:val="header"/>
    <w:basedOn w:val="Normal"/>
    <w:link w:val="SidhuvudChar"/>
    <w:uiPriority w:val="99"/>
    <w:unhideWhenUsed/>
    <w:rsid w:val="006B3075"/>
    <w:pPr>
      <w:tabs>
        <w:tab w:val="center" w:pos="4536"/>
        <w:tab w:val="right" w:pos="9072"/>
      </w:tabs>
    </w:pPr>
  </w:style>
  <w:style w:type="character" w:customStyle="1" w:styleId="SidhuvudChar">
    <w:name w:val="Sidhuvud Char"/>
    <w:basedOn w:val="Standardstycketeckensnitt"/>
    <w:link w:val="Sidhuvud"/>
    <w:uiPriority w:val="99"/>
    <w:rsid w:val="006B3075"/>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6B3075"/>
    <w:pPr>
      <w:tabs>
        <w:tab w:val="center" w:pos="4536"/>
        <w:tab w:val="right" w:pos="9072"/>
      </w:tabs>
    </w:pPr>
  </w:style>
  <w:style w:type="character" w:customStyle="1" w:styleId="SidfotChar">
    <w:name w:val="Sidfot Char"/>
    <w:basedOn w:val="Standardstycketeckensnitt"/>
    <w:link w:val="Sidfot"/>
    <w:uiPriority w:val="99"/>
    <w:rsid w:val="006B3075"/>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9"/>
    <w:rsid w:val="007F6F8E"/>
    <w:rPr>
      <w:rFonts w:ascii="Arial" w:eastAsia="Times New Roman" w:hAnsi="Arial" w:cs="Arial"/>
      <w:b/>
      <w:bCs/>
      <w:sz w:val="26"/>
      <w:szCs w:val="26"/>
      <w:lang w:eastAsia="sv-SE"/>
    </w:rPr>
  </w:style>
  <w:style w:type="paragraph" w:styleId="Ingetavstnd">
    <w:name w:val="No Spacing"/>
    <w:uiPriority w:val="1"/>
    <w:qFormat/>
    <w:rsid w:val="00272403"/>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0600C3"/>
    <w:rPr>
      <w:sz w:val="16"/>
      <w:szCs w:val="16"/>
    </w:rPr>
  </w:style>
  <w:style w:type="paragraph" w:styleId="Kommentarer">
    <w:name w:val="annotation text"/>
    <w:basedOn w:val="Normal"/>
    <w:link w:val="KommentarerChar"/>
    <w:uiPriority w:val="99"/>
    <w:semiHidden/>
    <w:unhideWhenUsed/>
    <w:rsid w:val="000600C3"/>
    <w:rPr>
      <w:sz w:val="20"/>
      <w:szCs w:val="20"/>
    </w:rPr>
  </w:style>
  <w:style w:type="character" w:customStyle="1" w:styleId="KommentarerChar">
    <w:name w:val="Kommentarer Char"/>
    <w:basedOn w:val="Standardstycketeckensnitt"/>
    <w:link w:val="Kommentarer"/>
    <w:uiPriority w:val="99"/>
    <w:semiHidden/>
    <w:rsid w:val="000600C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600C3"/>
    <w:rPr>
      <w:b/>
      <w:bCs/>
    </w:rPr>
  </w:style>
  <w:style w:type="character" w:customStyle="1" w:styleId="KommentarsmneChar">
    <w:name w:val="Kommentarsämne Char"/>
    <w:basedOn w:val="KommentarerChar"/>
    <w:link w:val="Kommentarsmne"/>
    <w:uiPriority w:val="99"/>
    <w:semiHidden/>
    <w:rsid w:val="000600C3"/>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0600C3"/>
    <w:rPr>
      <w:rFonts w:ascii="Tahoma" w:hAnsi="Tahoma" w:cs="Tahoma"/>
      <w:sz w:val="16"/>
      <w:szCs w:val="16"/>
    </w:rPr>
  </w:style>
  <w:style w:type="character" w:customStyle="1" w:styleId="BallongtextChar">
    <w:name w:val="Ballongtext Char"/>
    <w:basedOn w:val="Standardstycketeckensnitt"/>
    <w:link w:val="Ballongtext"/>
    <w:uiPriority w:val="99"/>
    <w:semiHidden/>
    <w:rsid w:val="000600C3"/>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E31A-6D9B-4D11-BA71-19C25E35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1638</Words>
  <Characters>8684</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Livsmedelsverket</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Agneta</cp:lastModifiedBy>
  <cp:revision>39</cp:revision>
  <cp:lastPrinted>2010-12-01T14:15:00Z</cp:lastPrinted>
  <dcterms:created xsi:type="dcterms:W3CDTF">2011-06-11T05:27:00Z</dcterms:created>
  <dcterms:modified xsi:type="dcterms:W3CDTF">2013-03-17T10:21:00Z</dcterms:modified>
</cp:coreProperties>
</file>